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2B5BEFE4" w:rsidR="002D595C" w:rsidRPr="00BB34B3" w:rsidRDefault="000556FF" w:rsidP="00180B7D">
      <w:pPr>
        <w:pStyle w:val="tytuinformacji"/>
        <w:spacing w:after="600"/>
        <w:rPr>
          <w:shd w:val="clear" w:color="auto" w:fill="FFFFFF"/>
        </w:rPr>
      </w:pPr>
      <w:r w:rsidRPr="000556FF">
        <w:rPr>
          <w:shd w:val="clear" w:color="auto" w:fill="FFFFFF"/>
        </w:rPr>
        <w:t>Wskaźniki zielonej gospodarki w Polsce 202</w:t>
      </w:r>
      <w:r>
        <w:rPr>
          <w:shd w:val="clear" w:color="auto" w:fill="FFFFFF"/>
        </w:rPr>
        <w:t>2</w:t>
      </w:r>
    </w:p>
    <w:p w14:paraId="3D30074A" w14:textId="4753C45A" w:rsidR="00820E5E" w:rsidRPr="00820E5E" w:rsidRDefault="00B6315A" w:rsidP="00820E5E">
      <w:pPr>
        <w:suppressAutoHyphens/>
        <w:spacing w:before="240" w:after="0"/>
        <w:ind w:left="3119" w:right="130"/>
        <w:rPr>
          <w:b/>
          <w:bCs/>
          <w:noProof/>
          <w:color w:val="000000" w:themeColor="text1"/>
          <w:lang w:eastAsia="pl-PL"/>
        </w:rPr>
      </w:pPr>
      <w:r w:rsidRPr="00820E5E">
        <w:rPr>
          <w:b/>
          <w:bCs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5CF2B70" wp14:editId="19C2C63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944000" cy="1512000"/>
                <wp:effectExtent l="0" t="0" r="0" b="0"/>
                <wp:wrapSquare wrapText="bothSides"/>
                <wp:docPr id="2" name="Pole tekstowe 2" descr="Ikona strzałki. Strzałka skierowana grotem do góry, co oznacza wzrost (o 5,4%) wskaźnika produktywności wody &#10;w 2021 r. w odniesieniu do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151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1C4F167A" w:rsidR="00DD7203" w:rsidRPr="00CC2F37" w:rsidRDefault="00DD7203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5,4</w:t>
                            </w:r>
                            <w:r w:rsidR="00A4577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52DB025" w14:textId="39279349" w:rsidR="00DD7203" w:rsidRPr="00074DD8" w:rsidRDefault="00A45776" w:rsidP="00820E5E">
                            <w:pPr>
                              <w:pStyle w:val="tekstnaniebieskimtle"/>
                              <w:suppressAutoHyphens/>
                              <w:spacing w:before="120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DD7203">
                              <w:t xml:space="preserve">wskaźnika produktywności wody </w:t>
                            </w:r>
                            <w:r w:rsidR="00DD7203">
                              <w:br/>
                              <w:t xml:space="preserve">w 2021 r. </w:t>
                            </w:r>
                            <w:r>
                              <w:t>w odniesieniu do </w:t>
                            </w:r>
                            <w:r w:rsidR="00DD7203">
                              <w:t>2020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(o 5,4%) wskaźnika produktywności wody &#10;w 2021 r. w odniesieniu do 2020 r.&#10;" style="position:absolute;left:0;text-align:left;margin-left:0;margin-top:.6pt;width:153.05pt;height:119.0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" fillcolor="#001d77" stroked="f">
                <v:stroke joinstyle="miter"/>
                <v:textbox>
                  <w:txbxContent>
                    <w:p w14:paraId="59A62030" w14:textId="1C4F167A" w:rsidR="00DD7203" w:rsidRPr="00CC2F37" w:rsidRDefault="00DD7203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5,4</w:t>
                      </w:r>
                      <w:r w:rsidR="00A4577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52DB025" w14:textId="39279349" w:rsidR="00DD7203" w:rsidRPr="00074DD8" w:rsidRDefault="00A45776" w:rsidP="00820E5E">
                      <w:pPr>
                        <w:pStyle w:val="tekstnaniebieskimtle"/>
                        <w:suppressAutoHyphens/>
                        <w:spacing w:before="120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DD7203">
                        <w:t xml:space="preserve">wskaźnika produktywności wody </w:t>
                      </w:r>
                      <w:r w:rsidR="00DD7203">
                        <w:br/>
                        <w:t xml:space="preserve">w 2021 r. </w:t>
                      </w:r>
                      <w:r>
                        <w:t>w odniesieniu do </w:t>
                      </w:r>
                      <w:r w:rsidR="00DD7203">
                        <w:t>2020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20E5E" w:rsidRPr="00820E5E">
        <w:rPr>
          <w:b/>
          <w:bCs/>
          <w:noProof/>
          <w:color w:val="000000" w:themeColor="text1"/>
          <w:lang w:eastAsia="pl-PL"/>
        </w:rPr>
        <w:t>W 20</w:t>
      </w:r>
      <w:r w:rsidR="007D23D4">
        <w:rPr>
          <w:b/>
          <w:bCs/>
          <w:noProof/>
          <w:color w:val="000000" w:themeColor="text1"/>
          <w:lang w:eastAsia="pl-PL"/>
        </w:rPr>
        <w:t>2</w:t>
      </w:r>
      <w:r w:rsidR="00820E5E" w:rsidRPr="00820E5E">
        <w:rPr>
          <w:b/>
          <w:bCs/>
          <w:noProof/>
          <w:color w:val="000000" w:themeColor="text1"/>
          <w:lang w:eastAsia="pl-PL"/>
        </w:rPr>
        <w:t xml:space="preserve">1 r. odnotowano w Polsce wzrost wskaźnika produktywności zasobów o </w:t>
      </w:r>
      <w:r w:rsidR="007D23D4">
        <w:rPr>
          <w:b/>
          <w:bCs/>
          <w:noProof/>
          <w:color w:val="000000" w:themeColor="text1"/>
          <w:lang w:eastAsia="pl-PL"/>
        </w:rPr>
        <w:t>5,4</w:t>
      </w:r>
      <w:r w:rsidR="00820E5E" w:rsidRPr="00820E5E">
        <w:rPr>
          <w:b/>
          <w:bCs/>
          <w:noProof/>
          <w:color w:val="000000" w:themeColor="text1"/>
          <w:lang w:eastAsia="pl-PL"/>
        </w:rPr>
        <w:t xml:space="preserve">% w porównaniu </w:t>
      </w:r>
      <w:r w:rsidR="007D23D4">
        <w:rPr>
          <w:b/>
          <w:bCs/>
          <w:noProof/>
          <w:color w:val="000000" w:themeColor="text1"/>
          <w:lang w:eastAsia="pl-PL"/>
        </w:rPr>
        <w:br/>
      </w:r>
      <w:r w:rsidR="00820E5E" w:rsidRPr="00820E5E">
        <w:rPr>
          <w:b/>
          <w:bCs/>
          <w:noProof/>
          <w:color w:val="000000" w:themeColor="text1"/>
          <w:lang w:eastAsia="pl-PL"/>
        </w:rPr>
        <w:t>z rokiem poprzednim.</w:t>
      </w:r>
    </w:p>
    <w:p w14:paraId="6866063E" w14:textId="4BD7167C" w:rsidR="00820E5E" w:rsidRPr="00820E5E" w:rsidRDefault="00820E5E" w:rsidP="00F52EC2">
      <w:pPr>
        <w:suppressAutoHyphens/>
        <w:spacing w:before="40" w:after="0"/>
        <w:ind w:left="3119" w:right="130"/>
        <w:rPr>
          <w:b/>
          <w:bCs/>
          <w:noProof/>
          <w:color w:val="000000" w:themeColor="text1"/>
          <w:lang w:eastAsia="pl-PL"/>
        </w:rPr>
      </w:pPr>
      <w:r w:rsidRPr="00820E5E">
        <w:rPr>
          <w:b/>
          <w:bCs/>
          <w:noProof/>
          <w:color w:val="000000" w:themeColor="text1"/>
          <w:lang w:eastAsia="pl-PL"/>
        </w:rPr>
        <w:t xml:space="preserve">Urząd Patentowy RP przyznał największą od 2000 r. liczbę patentów z zakresu technologii ochrony środowiska – </w:t>
      </w:r>
      <w:r w:rsidR="007D23D4">
        <w:rPr>
          <w:b/>
          <w:bCs/>
          <w:noProof/>
          <w:color w:val="000000" w:themeColor="text1"/>
          <w:lang w:eastAsia="pl-PL"/>
        </w:rPr>
        <w:t>178</w:t>
      </w:r>
      <w:r w:rsidRPr="00820E5E">
        <w:rPr>
          <w:b/>
          <w:bCs/>
          <w:noProof/>
          <w:color w:val="000000" w:themeColor="text1"/>
          <w:lang w:eastAsia="pl-PL"/>
        </w:rPr>
        <w:t>.</w:t>
      </w:r>
    </w:p>
    <w:p w14:paraId="78886493" w14:textId="6AD92707" w:rsidR="0034377D" w:rsidRPr="000556FF" w:rsidRDefault="00820E5E" w:rsidP="007D23D4">
      <w:pPr>
        <w:suppressAutoHyphens/>
        <w:spacing w:before="40" w:after="600"/>
        <w:ind w:left="3119" w:right="130"/>
        <w:rPr>
          <w:shd w:val="clear" w:color="auto" w:fill="FFFFFF"/>
        </w:rPr>
      </w:pPr>
      <w:r w:rsidRPr="00820E5E">
        <w:rPr>
          <w:b/>
          <w:bCs/>
          <w:noProof/>
          <w:color w:val="000000" w:themeColor="text1"/>
          <w:lang w:eastAsia="pl-PL"/>
        </w:rPr>
        <w:t>Przeciętna wielkość ekologicznego gospodarstwa rolnego wyniosła 27,</w:t>
      </w:r>
      <w:r w:rsidR="007D23D4">
        <w:rPr>
          <w:b/>
          <w:bCs/>
          <w:noProof/>
          <w:color w:val="000000" w:themeColor="text1"/>
          <w:lang w:eastAsia="pl-PL"/>
        </w:rPr>
        <w:t>5</w:t>
      </w:r>
      <w:r w:rsidRPr="00820E5E">
        <w:rPr>
          <w:b/>
          <w:bCs/>
          <w:noProof/>
          <w:color w:val="000000" w:themeColor="text1"/>
          <w:lang w:eastAsia="pl-PL"/>
        </w:rPr>
        <w:t xml:space="preserve"> ha i była najwyższa od 2000 r.</w:t>
      </w:r>
    </w:p>
    <w:p w14:paraId="2D895048" w14:textId="77777777" w:rsidR="007D23D4" w:rsidRPr="009D71F4" w:rsidRDefault="007D23D4" w:rsidP="00334562">
      <w:pPr>
        <w:spacing w:before="840" w:after="0" w:line="240" w:lineRule="auto"/>
        <w:rPr>
          <w:b/>
          <w:color w:val="001D77"/>
          <w:sz w:val="21"/>
          <w:szCs w:val="21"/>
        </w:rPr>
      </w:pPr>
      <w:r w:rsidRPr="009D71F4">
        <w:rPr>
          <w:b/>
          <w:color w:val="001D77"/>
          <w:sz w:val="21"/>
          <w:szCs w:val="21"/>
        </w:rPr>
        <w:t>Kapitał naturalny</w:t>
      </w:r>
    </w:p>
    <w:p w14:paraId="3270D244" w14:textId="77777777" w:rsidR="00A1503E" w:rsidRPr="00A1503E" w:rsidRDefault="00A1503E" w:rsidP="00A1503E">
      <w:pPr>
        <w:spacing w:before="240" w:line="240" w:lineRule="auto"/>
        <w:rPr>
          <w:b/>
          <w:color w:val="001D77"/>
          <w:szCs w:val="19"/>
        </w:rPr>
      </w:pPr>
      <w:r w:rsidRPr="00A1503E">
        <w:rPr>
          <w:b/>
          <w:color w:val="001D77"/>
          <w:szCs w:val="19"/>
        </w:rPr>
        <w:t>Użytkowanie gruntów</w:t>
      </w:r>
    </w:p>
    <w:p w14:paraId="1C77E5FE" w14:textId="43DEF9D6" w:rsidR="007D23D4" w:rsidRDefault="00A1503E" w:rsidP="00A1503E">
      <w:pPr>
        <w:pStyle w:val="tekstOP"/>
        <w:rPr>
          <w:iCs/>
        </w:rPr>
      </w:pPr>
      <w:r w:rsidRPr="00A1503E">
        <w:rPr>
          <w:iCs/>
        </w:rPr>
        <w:t>Człowiek poprzez zmiany w użytkowaniu gruntów wpływa na bioróżnorodność i stan ekosystemów. W latach 2002–2021 zwiększyła się powierzchnia gruntów zabudowanych i</w:t>
      </w:r>
      <w:r w:rsidR="00FD1CA8">
        <w:rPr>
          <w:iCs/>
        </w:rPr>
        <w:t> </w:t>
      </w:r>
      <w:r w:rsidRPr="00A1503E">
        <w:rPr>
          <w:iCs/>
        </w:rPr>
        <w:t>zurbanizowanych (o 16,7%), gruntów leśnych oraz zadrzewionych i zakrzewionych, łącznie z</w:t>
      </w:r>
      <w:r w:rsidR="00FD1CA8">
        <w:rPr>
          <w:iCs/>
        </w:rPr>
        <w:t> </w:t>
      </w:r>
      <w:r w:rsidRPr="00A1503E">
        <w:rPr>
          <w:iCs/>
        </w:rPr>
        <w:t>gruntami zadrzewionymi i zakrzewionymi na użytkach rolnych (o 7,6%), a także gruntów pod wodami (o</w:t>
      </w:r>
      <w:r w:rsidR="007C1F23">
        <w:rPr>
          <w:iCs/>
        </w:rPr>
        <w:t> </w:t>
      </w:r>
      <w:r w:rsidRPr="00A1503E">
        <w:rPr>
          <w:iCs/>
        </w:rPr>
        <w:t>3,2%), kosztem terenów pozostałych i użytków rolnych, w przypadku których odnotowano sp</w:t>
      </w:r>
      <w:r>
        <w:rPr>
          <w:iCs/>
        </w:rPr>
        <w:t>adek odpowiednio o 27,5% i 3,9%.</w:t>
      </w:r>
    </w:p>
    <w:p w14:paraId="1A0BB6AB" w14:textId="7AF6443E" w:rsidR="00A1503E" w:rsidRDefault="00A1503E" w:rsidP="00A1503E">
      <w:pPr>
        <w:pStyle w:val="tekstOP"/>
        <w:rPr>
          <w:iCs/>
        </w:rPr>
      </w:pPr>
      <w:r w:rsidRPr="00A1503E">
        <w:rPr>
          <w:iCs/>
        </w:rPr>
        <w:t>W 2021 r. na cele nierolnicze i nieleśne wyłączono 6,5 tys. ha gruntów rolnych i leśnych, co oznacza wzrost zarówno w odniesieniu do roku poprzedniego, jak i 2000 r. odpowiednio o</w:t>
      </w:r>
      <w:r w:rsidR="00A51821">
        <w:rPr>
          <w:iCs/>
        </w:rPr>
        <w:t> </w:t>
      </w:r>
      <w:r w:rsidRPr="00A1503E">
        <w:rPr>
          <w:iCs/>
        </w:rPr>
        <w:t>25,2% i 123,6%. Największy odsetek gruntów wyłączonych przeznaczono na tereny osiedlowe – 46,9% oraz na tereny przemysłowe – 23,5%</w:t>
      </w:r>
      <w:r w:rsidR="00EE068F">
        <w:rPr>
          <w:iCs/>
        </w:rPr>
        <w:t>.</w:t>
      </w:r>
    </w:p>
    <w:p w14:paraId="4CBB9E02" w14:textId="54A4ED45" w:rsidR="00EE068F" w:rsidRPr="00A1503E" w:rsidRDefault="00DB2C26" w:rsidP="00EE068F">
      <w:pPr>
        <w:spacing w:before="240" w:line="240" w:lineRule="auto"/>
        <w:rPr>
          <w:b/>
          <w:color w:val="001D77"/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370A753" wp14:editId="486413DE">
                <wp:simplePos x="0" y="0"/>
                <wp:positionH relativeFrom="column">
                  <wp:posOffset>5219700</wp:posOffset>
                </wp:positionH>
                <wp:positionV relativeFrom="paragraph">
                  <wp:posOffset>228388</wp:posOffset>
                </wp:positionV>
                <wp:extent cx="1724025" cy="1022350"/>
                <wp:effectExtent l="0" t="0" r="0" b="6350"/>
                <wp:wrapNone/>
                <wp:docPr id="4" name="Pole tekstowe 4" descr="W 2021 r. wydobycie węgla kamiennego w porównaniu z 1990 r. zmniejszyło się o 67,3%, węgla brunatnego – o 19,0%, a gazu ziemnego wzrosło o 40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3B44B" w14:textId="77777777" w:rsidR="001965F6" w:rsidRPr="00EA38EB" w:rsidRDefault="001965F6" w:rsidP="001965F6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2021 r. wydobycie węgla kamiennego w porównaniu z 1990 r. zmniejszyło się o 67,3%, węgla brunatnego – o 19,0%, a gazu ziemnego wzrosło o 40,7%</w:t>
                            </w:r>
                          </w:p>
                          <w:p w14:paraId="78E86534" w14:textId="77777777" w:rsidR="001965F6" w:rsidRPr="00EA38EB" w:rsidRDefault="001965F6" w:rsidP="001965F6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2021 r. wydobycie węgla kamiennego w porównaniu z 1990 r. zmniejszyło się o 67,3%, węgla brunatnego – o 19,0%, a gazu ziemnego wzrosło o 40,7%</w:t>
                            </w:r>
                          </w:p>
                          <w:p w14:paraId="387F6467" w14:textId="77777777" w:rsidR="00DD7203" w:rsidRPr="006B3628" w:rsidRDefault="00DD7203" w:rsidP="005F4D6A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0A75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2021 r. wydobycie węgla kamiennego w porównaniu z 1990 r. zmniejszyło się o 67,3%, węgla brunatnego – o 19,0%, a gazu ziemnego wzrosło o 40,7%" style="position:absolute;margin-left:411pt;margin-top:18pt;width:135.75pt;height:80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" filled="f" stroked="f">
                <v:textbox>
                  <w:txbxContent>
                    <w:p w14:paraId="12C3B44B" w14:textId="77777777" w:rsidR="001965F6" w:rsidRPr="00EA38EB" w:rsidRDefault="001965F6" w:rsidP="001965F6">
                      <w:pPr>
                        <w:pStyle w:val="tekstzboku"/>
                        <w:suppressAutoHyphens/>
                        <w:spacing w:before="0"/>
                      </w:pPr>
                      <w:r>
                        <w:t>W 2021 r. wydobycie węgla kamiennego w porównaniu z 1990 r. zmniejszyło się o 67,3%, węgla brunatnego – o 19,0%, a gazu ziemnego wzrosło o 40,7%</w:t>
                      </w:r>
                    </w:p>
                    <w:p w14:paraId="78E86534" w14:textId="77777777" w:rsidR="001965F6" w:rsidRPr="00EA38EB" w:rsidRDefault="001965F6" w:rsidP="001965F6">
                      <w:pPr>
                        <w:pStyle w:val="tekstzboku"/>
                        <w:suppressAutoHyphens/>
                        <w:spacing w:before="0"/>
                      </w:pPr>
                      <w:r>
                        <w:t>W 2021 r. wydobycie węgla kamiennego w porównaniu z 1990 r. zmniejszyło się o 67,3%, węgla brunatnego – o 19,0%, a gazu ziemnego wzrosło o 40,7%</w:t>
                      </w:r>
                    </w:p>
                    <w:p w14:paraId="387F6467" w14:textId="77777777" w:rsidR="00DD7203" w:rsidRPr="006B3628" w:rsidRDefault="00DD7203" w:rsidP="005F4D6A">
                      <w:pPr>
                        <w:pStyle w:val="tekstzboku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EE068F" w:rsidRPr="00EE068F">
        <w:rPr>
          <w:b/>
          <w:color w:val="001D77"/>
          <w:szCs w:val="19"/>
        </w:rPr>
        <w:t>Surowce mineralne</w:t>
      </w:r>
    </w:p>
    <w:p w14:paraId="28908E9B" w14:textId="7FF93D21" w:rsidR="00EE068F" w:rsidRDefault="00EE068F" w:rsidP="00EE068F">
      <w:pPr>
        <w:pStyle w:val="tekstOP"/>
        <w:rPr>
          <w:iCs/>
        </w:rPr>
      </w:pPr>
      <w:r w:rsidRPr="00EE068F">
        <w:rPr>
          <w:iCs/>
        </w:rPr>
        <w:t>W latach 1990–2021 geologiczne zasoby węgla kamiennego (bilansowe i pozabilansowe) zmniejszyły się z 86,0 mld ton do 77,9 mld ton (o 9,4%), co spowodowane było głównie eksploatacją złóż oraz zmianą kryteriów bilansowości. Jego wydobycie roczne spadło z</w:t>
      </w:r>
      <w:r w:rsidR="00FD1CA8">
        <w:rPr>
          <w:iCs/>
        </w:rPr>
        <w:t> </w:t>
      </w:r>
      <w:r w:rsidRPr="00EE068F">
        <w:rPr>
          <w:iCs/>
        </w:rPr>
        <w:t>151,3</w:t>
      </w:r>
      <w:r w:rsidR="00FD1CA8">
        <w:rPr>
          <w:iCs/>
        </w:rPr>
        <w:t> </w:t>
      </w:r>
      <w:r w:rsidRPr="00EE068F">
        <w:rPr>
          <w:iCs/>
        </w:rPr>
        <w:t>mln ton w 1990 r. do 49,5 mln ton w 2021 r. (o 67,3%). W 2021 r. udział wydobycia w</w:t>
      </w:r>
      <w:r w:rsidR="00FD1CA8">
        <w:rPr>
          <w:iCs/>
        </w:rPr>
        <w:t> </w:t>
      </w:r>
      <w:r w:rsidRPr="00EE068F">
        <w:rPr>
          <w:iCs/>
        </w:rPr>
        <w:t>zasobach bilansowych węgla kamiennego ukształtował s</w:t>
      </w:r>
      <w:r>
        <w:rPr>
          <w:iCs/>
        </w:rPr>
        <w:t>ię na poziomie 0,1%.</w:t>
      </w:r>
    </w:p>
    <w:p w14:paraId="429B1DF7" w14:textId="1C166357" w:rsidR="007F2BA3" w:rsidRDefault="00803299" w:rsidP="007F2BA3">
      <w:pPr>
        <w:pStyle w:val="tekstOP"/>
        <w:rPr>
          <w:iCs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77878B8" wp14:editId="70170602">
                <wp:simplePos x="0" y="0"/>
                <wp:positionH relativeFrom="column">
                  <wp:posOffset>5220970</wp:posOffset>
                </wp:positionH>
                <wp:positionV relativeFrom="paragraph">
                  <wp:posOffset>878149</wp:posOffset>
                </wp:positionV>
                <wp:extent cx="1764000" cy="1044000"/>
                <wp:effectExtent l="0" t="0" r="0" b="3810"/>
                <wp:wrapNone/>
                <wp:docPr id="5" name="Pole tekstowe 5" descr="Według Eurostatu w 2021 r. wydobycie węgla kamiennego wśród krajów UE miało miejsce jedynie w Polsce (96,2% ogólnego wydobycia w UE) i Czechach (3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10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4A39" w14:textId="339E14B6" w:rsidR="00DD7203" w:rsidRPr="006B3628" w:rsidRDefault="00DD7203" w:rsidP="00803299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 xml:space="preserve">Według Eurostatu w 2021 r. wydobycie węgla kamiennego wśród krajów UE miało miejsce jedynie w Polsce (96,2% ogólnego wydobycia </w:t>
                            </w:r>
                            <w:r>
                              <w:br/>
                              <w:t>w UE) i Czechach (3,8%)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78B8" id="Pole tekstowe 5" o:spid="_x0000_s1028" type="#_x0000_t202" alt="Według Eurostatu w 2021 r. wydobycie węgla kamiennego wśród krajów UE miało miejsce jedynie w Polsce (96,2% ogólnego wydobycia w UE) i Czechach (3,8%)&#10;" style="position:absolute;margin-left:411.1pt;margin-top:69.15pt;width:138.9pt;height:82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" filled="f" stroked="f">
                <v:textbox>
                  <w:txbxContent>
                    <w:p w14:paraId="348D4A39" w14:textId="339E14B6" w:rsidR="00DD7203" w:rsidRPr="006B3628" w:rsidRDefault="00DD7203" w:rsidP="00803299">
                      <w:pPr>
                        <w:pStyle w:val="tekstzboku"/>
                        <w:suppressAutoHyphens/>
                        <w:spacing w:before="0"/>
                      </w:pPr>
                      <w:r>
                        <w:t xml:space="preserve">Według Eurostatu w 2021 r. wydobycie węgla kamiennego wśród krajów UE miało miejsce jedynie w Polsce (96,2% ogólnego wydobycia </w:t>
                      </w:r>
                      <w:r>
                        <w:br/>
                        <w:t>w UE) i Czechach (3,8%)</w:t>
                      </w:r>
                    </w:p>
                  </w:txbxContent>
                </v:textbox>
              </v:shape>
            </w:pict>
          </mc:Fallback>
        </mc:AlternateContent>
      </w:r>
      <w:r w:rsidR="007F2BA3" w:rsidRPr="007F2BA3">
        <w:rPr>
          <w:iCs/>
        </w:rPr>
        <w:t>W okresie od 1990 r. do 20</w:t>
      </w:r>
      <w:r w:rsidR="007F2BA3">
        <w:rPr>
          <w:iCs/>
        </w:rPr>
        <w:t>2</w:t>
      </w:r>
      <w:r w:rsidR="007F2BA3" w:rsidRPr="007F2BA3">
        <w:rPr>
          <w:iCs/>
        </w:rPr>
        <w:t>1 r. geologiczne zasoby węg</w:t>
      </w:r>
      <w:r w:rsidR="007F2BA3">
        <w:rPr>
          <w:iCs/>
        </w:rPr>
        <w:t>la brunatnego (bilansowe i</w:t>
      </w:r>
      <w:r w:rsidR="00FD1CA8">
        <w:rPr>
          <w:iCs/>
        </w:rPr>
        <w:t> </w:t>
      </w:r>
      <w:r w:rsidR="007F2BA3">
        <w:rPr>
          <w:iCs/>
        </w:rPr>
        <w:t>poza</w:t>
      </w:r>
      <w:r w:rsidR="007F2BA3" w:rsidRPr="007F2BA3">
        <w:rPr>
          <w:iCs/>
        </w:rPr>
        <w:t>bilansowe) zwięk</w:t>
      </w:r>
      <w:r w:rsidR="007F2BA3">
        <w:rPr>
          <w:iCs/>
        </w:rPr>
        <w:t>szyły się z 17,1 mld ton do 26,7 mld ton (o 56,0</w:t>
      </w:r>
      <w:r w:rsidR="007F2BA3" w:rsidRPr="007F2BA3">
        <w:rPr>
          <w:iCs/>
        </w:rPr>
        <w:t>%), co związane było przede wszystkim z udokumentowaniem nowych złóż. Wielkość jego rocznego wydobycia spadła z</w:t>
      </w:r>
      <w:r w:rsidR="00A51821">
        <w:rPr>
          <w:iCs/>
        </w:rPr>
        <w:t> </w:t>
      </w:r>
      <w:r w:rsidR="007F2BA3" w:rsidRPr="007F2BA3">
        <w:rPr>
          <w:iCs/>
        </w:rPr>
        <w:t>67,7 mln ton do 5</w:t>
      </w:r>
      <w:r w:rsidR="007F2BA3">
        <w:rPr>
          <w:iCs/>
        </w:rPr>
        <w:t>4</w:t>
      </w:r>
      <w:r w:rsidR="007F2BA3" w:rsidRPr="007F2BA3">
        <w:rPr>
          <w:iCs/>
        </w:rPr>
        <w:t xml:space="preserve">,9 mln ton (o </w:t>
      </w:r>
      <w:r w:rsidR="007F2BA3">
        <w:rPr>
          <w:iCs/>
        </w:rPr>
        <w:t>1</w:t>
      </w:r>
      <w:r w:rsidR="007F2BA3" w:rsidRPr="007F2BA3">
        <w:rPr>
          <w:iCs/>
        </w:rPr>
        <w:t>9</w:t>
      </w:r>
      <w:r w:rsidR="007F2BA3">
        <w:rPr>
          <w:iCs/>
        </w:rPr>
        <w:t>,0</w:t>
      </w:r>
      <w:r w:rsidR="007F2BA3" w:rsidRPr="007F2BA3">
        <w:rPr>
          <w:iCs/>
        </w:rPr>
        <w:t>%). W 20</w:t>
      </w:r>
      <w:r w:rsidR="007F2BA3">
        <w:rPr>
          <w:iCs/>
        </w:rPr>
        <w:t>2</w:t>
      </w:r>
      <w:r w:rsidR="007F2BA3" w:rsidRPr="007F2BA3">
        <w:rPr>
          <w:iCs/>
        </w:rPr>
        <w:t>1 r. udział wydobycia węgla brunatnego w jego zasobach bilansowych wyniósł 0,2%.</w:t>
      </w:r>
    </w:p>
    <w:p w14:paraId="30F4CC82" w14:textId="77D5E286" w:rsidR="007F2BA3" w:rsidRDefault="007F2BA3" w:rsidP="007F2BA3">
      <w:pPr>
        <w:pStyle w:val="tekstOP"/>
        <w:rPr>
          <w:iCs/>
        </w:rPr>
      </w:pPr>
      <w:r w:rsidRPr="007F2BA3">
        <w:rPr>
          <w:iCs/>
        </w:rPr>
        <w:t>Geologiczne zasoby gazu ziemnego (bilansowe i pozabilansowe) zmalały z 164,1 mld m</w:t>
      </w:r>
      <w:r w:rsidRPr="007F2BA3">
        <w:rPr>
          <w:iCs/>
          <w:vertAlign w:val="superscript"/>
        </w:rPr>
        <w:t>3</w:t>
      </w:r>
      <w:r w:rsidRPr="007F2BA3">
        <w:rPr>
          <w:iCs/>
        </w:rPr>
        <w:t xml:space="preserve"> w</w:t>
      </w:r>
      <w:r w:rsidR="00A51821">
        <w:rPr>
          <w:iCs/>
        </w:rPr>
        <w:t> </w:t>
      </w:r>
      <w:r w:rsidRPr="007F2BA3">
        <w:rPr>
          <w:iCs/>
        </w:rPr>
        <w:t xml:space="preserve">1990 r. do </w:t>
      </w:r>
      <w:r>
        <w:rPr>
          <w:iCs/>
        </w:rPr>
        <w:t>145</w:t>
      </w:r>
      <w:r w:rsidRPr="007F2BA3">
        <w:rPr>
          <w:iCs/>
        </w:rPr>
        <w:t>,</w:t>
      </w:r>
      <w:r>
        <w:rPr>
          <w:iCs/>
        </w:rPr>
        <w:t>3</w:t>
      </w:r>
      <w:r w:rsidRPr="007F2BA3">
        <w:rPr>
          <w:iCs/>
        </w:rPr>
        <w:t xml:space="preserve"> mld m</w:t>
      </w:r>
      <w:r w:rsidRPr="007F2BA3">
        <w:rPr>
          <w:iCs/>
          <w:vertAlign w:val="superscript"/>
        </w:rPr>
        <w:t>3</w:t>
      </w:r>
      <w:r w:rsidRPr="007F2BA3">
        <w:rPr>
          <w:iCs/>
        </w:rPr>
        <w:t xml:space="preserve"> w 20</w:t>
      </w:r>
      <w:r>
        <w:rPr>
          <w:iCs/>
        </w:rPr>
        <w:t>2</w:t>
      </w:r>
      <w:r w:rsidRPr="007F2BA3">
        <w:rPr>
          <w:iCs/>
        </w:rPr>
        <w:t>1 r., tj. o 1</w:t>
      </w:r>
      <w:r>
        <w:rPr>
          <w:iCs/>
        </w:rPr>
        <w:t>1</w:t>
      </w:r>
      <w:r w:rsidRPr="007F2BA3">
        <w:rPr>
          <w:iCs/>
        </w:rPr>
        <w:t>,</w:t>
      </w:r>
      <w:r>
        <w:rPr>
          <w:iCs/>
        </w:rPr>
        <w:t>5</w:t>
      </w:r>
      <w:r w:rsidRPr="007F2BA3">
        <w:rPr>
          <w:iCs/>
        </w:rPr>
        <w:t>%. Jednocześnie proekologiczne w</w:t>
      </w:r>
      <w:r w:rsidR="00B20919">
        <w:rPr>
          <w:iCs/>
        </w:rPr>
        <w:t xml:space="preserve">łaściwości gazu, jak i szeroki zakres </w:t>
      </w:r>
      <w:r w:rsidRPr="007F2BA3">
        <w:rPr>
          <w:iCs/>
        </w:rPr>
        <w:t>zastosowań sprawiły, że jego wydobycie roczne wzrosło</w:t>
      </w:r>
      <w:r w:rsidR="00803299">
        <w:rPr>
          <w:iCs/>
        </w:rPr>
        <w:t xml:space="preserve"> z</w:t>
      </w:r>
      <w:r w:rsidR="00FD1CA8">
        <w:rPr>
          <w:iCs/>
        </w:rPr>
        <w:t> </w:t>
      </w:r>
      <w:r w:rsidR="00803299">
        <w:rPr>
          <w:iCs/>
        </w:rPr>
        <w:t>3,5</w:t>
      </w:r>
      <w:r w:rsidR="00FD1CA8">
        <w:rPr>
          <w:iCs/>
        </w:rPr>
        <w:t> </w:t>
      </w:r>
      <w:r w:rsidR="00803299">
        <w:rPr>
          <w:iCs/>
        </w:rPr>
        <w:t>mld</w:t>
      </w:r>
      <w:r w:rsidR="00FD1CA8">
        <w:rPr>
          <w:iCs/>
        </w:rPr>
        <w:t> </w:t>
      </w:r>
      <w:r w:rsidR="00803299">
        <w:rPr>
          <w:iCs/>
        </w:rPr>
        <w:t>m</w:t>
      </w:r>
      <w:r w:rsidR="00803299" w:rsidRPr="00803299">
        <w:rPr>
          <w:iCs/>
          <w:vertAlign w:val="superscript"/>
        </w:rPr>
        <w:t>3</w:t>
      </w:r>
      <w:r w:rsidR="00803299">
        <w:rPr>
          <w:iCs/>
        </w:rPr>
        <w:t xml:space="preserve"> w</w:t>
      </w:r>
      <w:r w:rsidR="00B20919">
        <w:rPr>
          <w:iCs/>
        </w:rPr>
        <w:t> </w:t>
      </w:r>
      <w:r w:rsidR="00803299">
        <w:rPr>
          <w:iCs/>
        </w:rPr>
        <w:t>1990 r. do 4,9 mld m</w:t>
      </w:r>
      <w:r w:rsidR="00803299" w:rsidRPr="00803299">
        <w:rPr>
          <w:iCs/>
          <w:vertAlign w:val="superscript"/>
        </w:rPr>
        <w:t>3</w:t>
      </w:r>
      <w:r w:rsidRPr="007F2BA3">
        <w:rPr>
          <w:iCs/>
        </w:rPr>
        <w:t xml:space="preserve"> </w:t>
      </w:r>
      <w:r w:rsidR="00803299">
        <w:rPr>
          <w:iCs/>
        </w:rPr>
        <w:t>w 2021 r. (</w:t>
      </w:r>
      <w:r w:rsidRPr="007F2BA3">
        <w:rPr>
          <w:iCs/>
        </w:rPr>
        <w:t xml:space="preserve">o </w:t>
      </w:r>
      <w:r w:rsidR="007C1F23">
        <w:rPr>
          <w:iCs/>
        </w:rPr>
        <w:t>40</w:t>
      </w:r>
      <w:r w:rsidRPr="007F2BA3">
        <w:rPr>
          <w:iCs/>
        </w:rPr>
        <w:t>,</w:t>
      </w:r>
      <w:r w:rsidR="007C1F23">
        <w:rPr>
          <w:iCs/>
        </w:rPr>
        <w:t>7</w:t>
      </w:r>
      <w:r w:rsidRPr="007F2BA3">
        <w:rPr>
          <w:iCs/>
        </w:rPr>
        <w:t>%</w:t>
      </w:r>
      <w:r w:rsidR="00803299">
        <w:rPr>
          <w:iCs/>
        </w:rPr>
        <w:t>) i stanowiło 3,4</w:t>
      </w:r>
      <w:r w:rsidRPr="007F2BA3">
        <w:rPr>
          <w:iCs/>
        </w:rPr>
        <w:t>% ogółu bilansowych zasobów gazu ziemnego.</w:t>
      </w:r>
    </w:p>
    <w:p w14:paraId="7F5E754C" w14:textId="77777777" w:rsidR="00B213BA" w:rsidRDefault="00B213BA">
      <w:pPr>
        <w:spacing w:before="0" w:after="160" w:line="259" w:lineRule="auto"/>
        <w:rPr>
          <w:rFonts w:ascii="Fira Sans SemiBold" w:hAnsi="Fira Sans SemiBold"/>
          <w:color w:val="001D77"/>
          <w:sz w:val="22"/>
        </w:rPr>
      </w:pPr>
      <w:r>
        <w:rPr>
          <w:rFonts w:ascii="Fira Sans SemiBold" w:hAnsi="Fira Sans SemiBold"/>
          <w:color w:val="001D77"/>
          <w:sz w:val="22"/>
        </w:rPr>
        <w:br w:type="page"/>
      </w:r>
    </w:p>
    <w:p w14:paraId="0E34CAF4" w14:textId="06373197" w:rsidR="00B213BA" w:rsidRPr="009D71F4" w:rsidRDefault="00B213BA" w:rsidP="00B213BA">
      <w:pPr>
        <w:spacing w:before="360" w:after="0" w:line="240" w:lineRule="auto"/>
        <w:rPr>
          <w:b/>
          <w:color w:val="001D77"/>
          <w:sz w:val="22"/>
        </w:rPr>
      </w:pPr>
      <w:r w:rsidRPr="009D71F4">
        <w:rPr>
          <w:b/>
          <w:color w:val="001D77"/>
          <w:sz w:val="22"/>
        </w:rPr>
        <w:lastRenderedPageBreak/>
        <w:t>Środowiskowa efektywność produkcji</w:t>
      </w:r>
    </w:p>
    <w:p w14:paraId="1A5ABCD2" w14:textId="2EBA9BA5" w:rsidR="00B213BA" w:rsidRPr="00A1503E" w:rsidRDefault="00B213BA" w:rsidP="00B213BA">
      <w:pPr>
        <w:spacing w:before="240" w:line="240" w:lineRule="auto"/>
        <w:rPr>
          <w:b/>
          <w:color w:val="001D77"/>
          <w:szCs w:val="19"/>
        </w:rPr>
      </w:pPr>
      <w:r w:rsidRPr="00B213BA">
        <w:rPr>
          <w:b/>
          <w:color w:val="001D77"/>
          <w:szCs w:val="19"/>
        </w:rPr>
        <w:t>Gospodarowanie wodą</w:t>
      </w:r>
    </w:p>
    <w:p w14:paraId="457AAC67" w14:textId="7FC0A557" w:rsidR="00B213BA" w:rsidRDefault="00B213BA" w:rsidP="007F2BA3">
      <w:pPr>
        <w:pStyle w:val="tekstOP"/>
        <w:rPr>
          <w:iCs/>
        </w:rPr>
      </w:pPr>
      <w:r w:rsidRPr="00B213BA">
        <w:rPr>
          <w:iCs/>
        </w:rPr>
        <w:t>Efektywne wykorzystanie wody stanowi podstawę właściwego zarządzania gospodarką wodną. Do oceny efektywności gospodarowania wodą wykorzystuje się wskaźnik produktywności wody obrazujący relację między PKB (w cenach stałych) a zużyciem wody na</w:t>
      </w:r>
      <w:r w:rsidR="00FD1CA8">
        <w:rPr>
          <w:iCs/>
        </w:rPr>
        <w:t> </w:t>
      </w:r>
      <w:r w:rsidRPr="00B213BA">
        <w:rPr>
          <w:iCs/>
        </w:rPr>
        <w:t>potrzeby gospodarki narodowej i ludności. W latach 2000–20</w:t>
      </w:r>
      <w:r>
        <w:rPr>
          <w:iCs/>
        </w:rPr>
        <w:t>2</w:t>
      </w:r>
      <w:r w:rsidRPr="00B213BA">
        <w:rPr>
          <w:iCs/>
        </w:rPr>
        <w:t>1 wskaźnik produktywności wody kształtował się coraz korzystniej. W 20</w:t>
      </w:r>
      <w:r>
        <w:rPr>
          <w:iCs/>
        </w:rPr>
        <w:t>2</w:t>
      </w:r>
      <w:r w:rsidRPr="00B213BA">
        <w:rPr>
          <w:iCs/>
        </w:rPr>
        <w:t>1 r. wyniósł 2</w:t>
      </w:r>
      <w:r>
        <w:rPr>
          <w:iCs/>
        </w:rPr>
        <w:t>82,39</w:t>
      </w:r>
      <w:r w:rsidRPr="00B213BA">
        <w:rPr>
          <w:iCs/>
        </w:rPr>
        <w:t xml:space="preserve"> zł/m</w:t>
      </w:r>
      <w:r w:rsidRPr="00B213BA">
        <w:rPr>
          <w:iCs/>
          <w:vertAlign w:val="superscript"/>
        </w:rPr>
        <w:t>3</w:t>
      </w:r>
      <w:r w:rsidRPr="00B213BA">
        <w:rPr>
          <w:iCs/>
        </w:rPr>
        <w:t xml:space="preserve"> i był wyższy, zarówno w</w:t>
      </w:r>
      <w:r w:rsidR="00FD1CA8">
        <w:rPr>
          <w:iCs/>
        </w:rPr>
        <w:t> </w:t>
      </w:r>
      <w:r w:rsidRPr="00B213BA">
        <w:rPr>
          <w:iCs/>
        </w:rPr>
        <w:t>odniesieniu do 2020 r., jak i 2000 r. odpowiednio o 5,4% i 316,8%.</w:t>
      </w:r>
    </w:p>
    <w:p w14:paraId="5D501128" w14:textId="7CC4BA0D" w:rsidR="00B213BA" w:rsidRPr="00C3339D" w:rsidRDefault="00C3339D" w:rsidP="00C3339D">
      <w:pPr>
        <w:spacing w:before="360" w:line="240" w:lineRule="auto"/>
        <w:rPr>
          <w:iCs/>
          <w:vertAlign w:val="superscript"/>
        </w:rPr>
      </w:pPr>
      <w:r w:rsidRPr="000834B7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1570401" wp14:editId="6706EDCB">
                <wp:simplePos x="0" y="0"/>
                <wp:positionH relativeFrom="leftMargin">
                  <wp:posOffset>424815</wp:posOffset>
                </wp:positionH>
                <wp:positionV relativeFrom="paragraph">
                  <wp:posOffset>290618</wp:posOffset>
                </wp:positionV>
                <wp:extent cx="560070" cy="252000"/>
                <wp:effectExtent l="0" t="0" r="0" b="0"/>
                <wp:wrapNone/>
                <wp:docPr id="192" name="Pole tekstow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F1F12" w14:textId="6310D2AD" w:rsidR="00DD7203" w:rsidRPr="00E27BB3" w:rsidRDefault="00DD7203" w:rsidP="00B213BA">
                            <w:pPr>
                              <w:spacing w:before="0" w:after="0" w:line="240" w:lineRule="auto"/>
                              <w:ind w:left="-57" w:right="-57"/>
                              <w:rPr>
                                <w:sz w:val="16"/>
                                <w:vertAlign w:val="superscript"/>
                              </w:rPr>
                            </w:pPr>
                            <w:r w:rsidRPr="0011469A">
                              <w:rPr>
                                <w:sz w:val="18"/>
                                <w:szCs w:val="19"/>
                              </w:rPr>
                              <w:t>zł/</w:t>
                            </w:r>
                            <w:r w:rsidR="00E27BB3">
                              <w:rPr>
                                <w:sz w:val="18"/>
                                <w:szCs w:val="19"/>
                              </w:rPr>
                              <w:t>m</w:t>
                            </w:r>
                            <w:r w:rsidR="00E27BB3">
                              <w:rPr>
                                <w:sz w:val="18"/>
                                <w:szCs w:val="19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0401" id="Pole tekstowe 192" o:spid="_x0000_s1029" type="#_x0000_t202" style="position:absolute;margin-left:33.45pt;margin-top:22.9pt;width:44.1pt;height:19.8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" filled="f" stroked="f">
                <v:textbox>
                  <w:txbxContent>
                    <w:p w14:paraId="63AF1F12" w14:textId="6310D2AD" w:rsidR="00DD7203" w:rsidRPr="00E27BB3" w:rsidRDefault="00DD7203" w:rsidP="00B213BA">
                      <w:pPr>
                        <w:spacing w:before="0" w:after="0" w:line="240" w:lineRule="auto"/>
                        <w:ind w:left="-57" w:right="-57"/>
                        <w:rPr>
                          <w:sz w:val="16"/>
                          <w:vertAlign w:val="superscript"/>
                        </w:rPr>
                      </w:pPr>
                      <w:r w:rsidRPr="0011469A">
                        <w:rPr>
                          <w:sz w:val="18"/>
                          <w:szCs w:val="19"/>
                        </w:rPr>
                        <w:t>zł/</w:t>
                      </w:r>
                      <w:r w:rsidR="00E27BB3">
                        <w:rPr>
                          <w:sz w:val="18"/>
                          <w:szCs w:val="19"/>
                        </w:rPr>
                        <w:t>m</w:t>
                      </w:r>
                      <w:r w:rsidR="00E27BB3">
                        <w:rPr>
                          <w:sz w:val="18"/>
                          <w:szCs w:val="19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3BA" w:rsidRPr="000834B7">
        <w:rPr>
          <w:b/>
          <w:szCs w:val="19"/>
          <w:shd w:val="clear" w:color="auto" w:fill="FFFFFF"/>
        </w:rPr>
        <w:t xml:space="preserve">Wykres 1. Produktywność </w:t>
      </w:r>
      <w:r w:rsidRPr="000834B7">
        <w:rPr>
          <w:b/>
          <w:szCs w:val="19"/>
          <w:shd w:val="clear" w:color="auto" w:fill="FFFFFF"/>
        </w:rPr>
        <w:t>wody</w:t>
      </w:r>
      <w:r w:rsidRPr="00C3339D">
        <w:rPr>
          <w:sz w:val="4"/>
          <w:szCs w:val="4"/>
          <w:shd w:val="clear" w:color="auto" w:fill="FFFFFF"/>
        </w:rPr>
        <w:t xml:space="preserve"> </w:t>
      </w:r>
      <w:r w:rsidRPr="00C3339D">
        <w:rPr>
          <w:sz w:val="20"/>
          <w:szCs w:val="18"/>
          <w:shd w:val="clear" w:color="auto" w:fill="FFFFFF"/>
          <w:vertAlign w:val="superscript"/>
        </w:rPr>
        <w:t>a</w:t>
      </w:r>
    </w:p>
    <w:p w14:paraId="4ACDE618" w14:textId="519A17EE" w:rsidR="000834B7" w:rsidRDefault="00DF74F6" w:rsidP="000834B7">
      <w:pPr>
        <w:pStyle w:val="tekstOP"/>
        <w:spacing w:before="240" w:after="0"/>
        <w:rPr>
          <w:color w:val="000000" w:themeColor="text1"/>
          <w:sz w:val="16"/>
        </w:rPr>
      </w:pPr>
      <w:r>
        <w:rPr>
          <w:noProof/>
          <w:lang w:eastAsia="pl-PL"/>
        </w:rPr>
        <w:drawing>
          <wp:inline distT="0" distB="0" distL="0" distR="0" wp14:anchorId="1F94F987" wp14:editId="47BF5C94">
            <wp:extent cx="5040000" cy="1980000"/>
            <wp:effectExtent l="0" t="0" r="8255" b="1270"/>
            <wp:docPr id="1" name="Wykres 1" descr="Wykres 1. Produktywność wody. Dane do wykresu dostępne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AE251A9" w14:textId="70C80E73" w:rsidR="000834B7" w:rsidRPr="00DD7203" w:rsidRDefault="000834B7" w:rsidP="000834B7">
      <w:pPr>
        <w:pStyle w:val="tekstOP"/>
        <w:spacing w:before="0"/>
        <w:rPr>
          <w:color w:val="000000" w:themeColor="text1"/>
          <w:sz w:val="16"/>
        </w:rPr>
      </w:pPr>
      <w:r w:rsidRPr="000834B7">
        <w:rPr>
          <w:color w:val="000000" w:themeColor="text1"/>
          <w:sz w:val="16"/>
        </w:rPr>
        <w:t>a Zużycie wody na potrzeby gospodarki narodowej i ludności – od 2019 r. bez nawodnień w rolnictwie i</w:t>
      </w:r>
      <w:r w:rsidR="00FD1CA8">
        <w:rPr>
          <w:color w:val="000000" w:themeColor="text1"/>
          <w:sz w:val="16"/>
        </w:rPr>
        <w:t> </w:t>
      </w:r>
      <w:r w:rsidRPr="000834B7">
        <w:rPr>
          <w:color w:val="000000" w:themeColor="text1"/>
          <w:sz w:val="16"/>
        </w:rPr>
        <w:t>leśnictwie; PKB za 2021 r. – szacunki wstępne.</w:t>
      </w:r>
    </w:p>
    <w:p w14:paraId="46F4E3D3" w14:textId="530FD3C4" w:rsidR="00C3339D" w:rsidRPr="00A1503E" w:rsidRDefault="00C3339D" w:rsidP="00C3339D">
      <w:pPr>
        <w:spacing w:before="240" w:line="240" w:lineRule="auto"/>
        <w:rPr>
          <w:b/>
          <w:color w:val="001D77"/>
          <w:szCs w:val="19"/>
        </w:rPr>
      </w:pPr>
      <w:r w:rsidRPr="00C3339D">
        <w:rPr>
          <w:b/>
          <w:color w:val="001D77"/>
          <w:szCs w:val="19"/>
        </w:rPr>
        <w:t>Krajowa konsumpcja materialna</w:t>
      </w:r>
    </w:p>
    <w:p w14:paraId="1E7B5B4D" w14:textId="1F7368BC" w:rsidR="00C3339D" w:rsidRPr="00C3339D" w:rsidRDefault="00C3339D" w:rsidP="00A51821">
      <w:pPr>
        <w:pStyle w:val="tekstOP"/>
        <w:rPr>
          <w:iCs/>
        </w:rPr>
      </w:pPr>
      <w:r w:rsidRPr="00C3339D">
        <w:rPr>
          <w:iCs/>
        </w:rPr>
        <w:t>Krajowa konsumpcja materialna (DMC) odzwierciedla całkowitą ilość surowców faktycznie zużytych w procesach ekonomicznych na potrzeby gospodarki krajowej. Według wstępnych danych Eurostatu, krajowa konsumpcja materialna w 2021 r. osiągnęła w Polsce wielkość 681,7</w:t>
      </w:r>
      <w:r w:rsidR="00A51821">
        <w:rPr>
          <w:iCs/>
        </w:rPr>
        <w:t> </w:t>
      </w:r>
      <w:r w:rsidRPr="00C3339D">
        <w:rPr>
          <w:iCs/>
        </w:rPr>
        <w:t>mln ton. Była ona wyższa o 5,7% w stosunku do roku poprzedniego i o 30,6% w</w:t>
      </w:r>
      <w:r w:rsidR="00FD1CA8">
        <w:rPr>
          <w:iCs/>
        </w:rPr>
        <w:t> </w:t>
      </w:r>
      <w:r w:rsidRPr="00C3339D">
        <w:rPr>
          <w:iCs/>
        </w:rPr>
        <w:t>odniesieniu do 2000 r. W przeliczeniu na 1 mieszkańca roczne krajowe zużycie surowców wyniosło 18,0 ton.</w:t>
      </w:r>
    </w:p>
    <w:p w14:paraId="5C08F3D0" w14:textId="370FA4EE" w:rsidR="00C3339D" w:rsidRDefault="00C3339D" w:rsidP="00C3339D">
      <w:pPr>
        <w:pStyle w:val="tekstOP"/>
        <w:rPr>
          <w:iCs/>
        </w:rPr>
      </w:pPr>
      <w:r w:rsidRPr="00C3339D">
        <w:rPr>
          <w:iCs/>
        </w:rPr>
        <w:t xml:space="preserve">Do pomiaru efektywności wykorzystania surowców w gospodarce stosowany jest wskaźnik produktywności zasobów liczony jako relacja PKB (w cenach stałych) do krajowej konsumpcji materialnej. </w:t>
      </w:r>
      <w:r w:rsidR="003E22F7" w:rsidRPr="003E22F7">
        <w:rPr>
          <w:iCs/>
        </w:rPr>
        <w:t xml:space="preserve">Im wyższa jest wartość tego wskaźnika, tym mniejsze zasoby są wykorzystywane do wytworzenia jednostki PKB. </w:t>
      </w:r>
      <w:r w:rsidRPr="00C3339D">
        <w:rPr>
          <w:iCs/>
        </w:rPr>
        <w:t>W 20</w:t>
      </w:r>
      <w:r w:rsidR="000834B7">
        <w:rPr>
          <w:iCs/>
        </w:rPr>
        <w:t>2</w:t>
      </w:r>
      <w:r w:rsidRPr="00C3339D">
        <w:rPr>
          <w:iCs/>
        </w:rPr>
        <w:t>1 r. wskaźnik produktywności zasobów dla Polski osią</w:t>
      </w:r>
      <w:r w:rsidR="000834B7">
        <w:rPr>
          <w:iCs/>
        </w:rPr>
        <w:t>gnął wartość 3,6</w:t>
      </w:r>
      <w:r w:rsidRPr="00C3339D">
        <w:rPr>
          <w:iCs/>
        </w:rPr>
        <w:t>6 zł/kg i był on wyższy niż w 20</w:t>
      </w:r>
      <w:r w:rsidR="000834B7">
        <w:rPr>
          <w:iCs/>
        </w:rPr>
        <w:t>20</w:t>
      </w:r>
      <w:r w:rsidR="00A51821">
        <w:rPr>
          <w:iCs/>
        </w:rPr>
        <w:t xml:space="preserve"> i 2000 r., kiedy kształtował się </w:t>
      </w:r>
      <w:r w:rsidRPr="00C3339D">
        <w:rPr>
          <w:iCs/>
        </w:rPr>
        <w:t xml:space="preserve">odpowiednio </w:t>
      </w:r>
      <w:r w:rsidR="00A51821">
        <w:rPr>
          <w:iCs/>
        </w:rPr>
        <w:t>na poziomie 3,48</w:t>
      </w:r>
      <w:r w:rsidRPr="00C3339D">
        <w:rPr>
          <w:iCs/>
        </w:rPr>
        <w:t xml:space="preserve"> zł/kg i 1,3</w:t>
      </w:r>
      <w:r w:rsidR="000834B7">
        <w:rPr>
          <w:iCs/>
        </w:rPr>
        <w:t>5</w:t>
      </w:r>
      <w:r w:rsidR="00A51821">
        <w:rPr>
          <w:iCs/>
        </w:rPr>
        <w:t xml:space="preserve"> zł/kg</w:t>
      </w:r>
      <w:r w:rsidRPr="00C3339D">
        <w:rPr>
          <w:iCs/>
        </w:rPr>
        <w:t>.</w:t>
      </w:r>
    </w:p>
    <w:p w14:paraId="27C18B9C" w14:textId="09830B3C" w:rsidR="00A51821" w:rsidRPr="009D71F4" w:rsidRDefault="00A51821" w:rsidP="00A51821">
      <w:pPr>
        <w:spacing w:before="360" w:after="0" w:line="240" w:lineRule="auto"/>
        <w:rPr>
          <w:b/>
          <w:color w:val="001D77"/>
          <w:sz w:val="22"/>
        </w:rPr>
      </w:pPr>
      <w:r w:rsidRPr="009D71F4">
        <w:rPr>
          <w:b/>
          <w:color w:val="001D77"/>
          <w:sz w:val="22"/>
        </w:rPr>
        <w:t>Środowiskowa jakość życia ludności</w:t>
      </w:r>
    </w:p>
    <w:p w14:paraId="4715A102" w14:textId="1CB54F4B" w:rsidR="00A51821" w:rsidRPr="00A1503E" w:rsidRDefault="009418BD" w:rsidP="00A51821">
      <w:pPr>
        <w:spacing w:before="240" w:line="240" w:lineRule="auto"/>
        <w:rPr>
          <w:b/>
          <w:color w:val="001D77"/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AE9C549" wp14:editId="38C17828">
                <wp:simplePos x="0" y="0"/>
                <wp:positionH relativeFrom="column">
                  <wp:posOffset>5220970</wp:posOffset>
                </wp:positionH>
                <wp:positionV relativeFrom="paragraph">
                  <wp:posOffset>303953</wp:posOffset>
                </wp:positionV>
                <wp:extent cx="1800000" cy="1260000"/>
                <wp:effectExtent l="0" t="0" r="0" b="0"/>
                <wp:wrapNone/>
                <wp:docPr id="30" name="Pole tekstowe 30" descr="W 2020 r. odnotowano najniższe od 2000 r. wielkości emisji pyłu PM10 i PM2,5 w przeliczeniu na 1 mieszkańc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D1D3" w14:textId="1D5B45A8" w:rsidR="009418BD" w:rsidRPr="00BB2CE8" w:rsidRDefault="009418BD" w:rsidP="00B87195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</w:t>
                            </w:r>
                            <w:r w:rsidR="00BB2CE8">
                              <w:t xml:space="preserve"> 2020</w:t>
                            </w:r>
                            <w:r>
                              <w:t xml:space="preserve"> r. </w:t>
                            </w:r>
                            <w:r w:rsidR="00BB2CE8">
                              <w:t xml:space="preserve">odnotowano najniższe </w:t>
                            </w:r>
                            <w:r w:rsidR="00C370C2">
                              <w:t xml:space="preserve">od 2000 r. </w:t>
                            </w:r>
                            <w:r w:rsidR="00BB2CE8">
                              <w:t xml:space="preserve">wielkości emisji </w:t>
                            </w:r>
                            <w:r>
                              <w:t>pył</w:t>
                            </w:r>
                            <w:r w:rsidR="00BB2CE8">
                              <w:t>u</w:t>
                            </w:r>
                            <w:r>
                              <w:t xml:space="preserve"> PM</w:t>
                            </w:r>
                            <w:r w:rsidR="00BB2CE8">
                              <w:rPr>
                                <w:vertAlign w:val="subscript"/>
                              </w:rPr>
                              <w:t>10</w:t>
                            </w:r>
                            <w:r w:rsidR="00BB2CE8">
                              <w:t xml:space="preserve"> i PM</w:t>
                            </w:r>
                            <w:r w:rsidR="00BB2CE8" w:rsidRPr="009418BD">
                              <w:rPr>
                                <w:vertAlign w:val="subscript"/>
                              </w:rPr>
                              <w:t>2,5</w:t>
                            </w:r>
                            <w:r w:rsidR="00BB2CE8">
                              <w:t xml:space="preserve"> w</w:t>
                            </w:r>
                            <w:r w:rsidR="00C370C2">
                              <w:t> </w:t>
                            </w:r>
                            <w:r w:rsidR="00BB2CE8">
                              <w:t xml:space="preserve">przeliczeniu na 1 mieszkańca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C549" id="Pole tekstowe 30" o:spid="_x0000_s1030" type="#_x0000_t202" alt="W 2020 r. odnotowano najniższe od 2000 r. wielkości emisji pyłu PM10 i PM2,5 w przeliczeniu na 1 mieszkańca " style="position:absolute;margin-left:411.1pt;margin-top:23.95pt;width:141.75pt;height:99.2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" filled="f" stroked="f">
                <v:textbox>
                  <w:txbxContent>
                    <w:p w14:paraId="0B07D1D3" w14:textId="1D5B45A8" w:rsidR="009418BD" w:rsidRPr="00BB2CE8" w:rsidRDefault="009418BD" w:rsidP="00B87195">
                      <w:pPr>
                        <w:pStyle w:val="tekstzboku"/>
                        <w:suppressAutoHyphens/>
                        <w:spacing w:before="0"/>
                      </w:pPr>
                      <w:r>
                        <w:t>W</w:t>
                      </w:r>
                      <w:r w:rsidR="00BB2CE8">
                        <w:t xml:space="preserve"> 2020</w:t>
                      </w:r>
                      <w:r>
                        <w:t xml:space="preserve"> r. </w:t>
                      </w:r>
                      <w:r w:rsidR="00BB2CE8">
                        <w:t xml:space="preserve">odnotowano najniższe </w:t>
                      </w:r>
                      <w:r w:rsidR="00C370C2">
                        <w:t xml:space="preserve">od 2000 r. </w:t>
                      </w:r>
                      <w:r w:rsidR="00BB2CE8">
                        <w:t xml:space="preserve">wielkości emisji </w:t>
                      </w:r>
                      <w:r>
                        <w:t>pył</w:t>
                      </w:r>
                      <w:r w:rsidR="00BB2CE8">
                        <w:t>u</w:t>
                      </w:r>
                      <w:r>
                        <w:t xml:space="preserve"> PM</w:t>
                      </w:r>
                      <w:r w:rsidR="00BB2CE8">
                        <w:rPr>
                          <w:vertAlign w:val="subscript"/>
                        </w:rPr>
                        <w:t>10</w:t>
                      </w:r>
                      <w:r w:rsidR="00BB2CE8">
                        <w:t xml:space="preserve"> i PM</w:t>
                      </w:r>
                      <w:r w:rsidR="00BB2CE8" w:rsidRPr="009418BD">
                        <w:rPr>
                          <w:vertAlign w:val="subscript"/>
                        </w:rPr>
                        <w:t>2,5</w:t>
                      </w:r>
                      <w:r w:rsidR="00BB2CE8">
                        <w:t xml:space="preserve"> w</w:t>
                      </w:r>
                      <w:r w:rsidR="00C370C2">
                        <w:t> </w:t>
                      </w:r>
                      <w:r w:rsidR="00BB2CE8">
                        <w:t xml:space="preserve">przeliczeniu na 1 mieszkańca </w:t>
                      </w:r>
                    </w:p>
                  </w:txbxContent>
                </v:textbox>
              </v:shape>
            </w:pict>
          </mc:Fallback>
        </mc:AlternateContent>
      </w:r>
      <w:r w:rsidR="00A51821" w:rsidRPr="00A51821">
        <w:rPr>
          <w:b/>
          <w:color w:val="001D77"/>
          <w:szCs w:val="19"/>
        </w:rPr>
        <w:t>Pyłowe zanieczyszczenia powietrza</w:t>
      </w:r>
    </w:p>
    <w:p w14:paraId="00033A7A" w14:textId="62308342" w:rsidR="00A51821" w:rsidRDefault="00A51821" w:rsidP="00A51821">
      <w:pPr>
        <w:pStyle w:val="tekstOP"/>
        <w:rPr>
          <w:iCs/>
        </w:rPr>
      </w:pPr>
      <w:r w:rsidRPr="00A51821">
        <w:rPr>
          <w:iCs/>
        </w:rPr>
        <w:t>Istotnym problemem związanym z jakością powietrza w Polsce jest przekraczanie norm dla pyłu zawieszonego, zwłaszcza w sezonie zimowym. W 20</w:t>
      </w:r>
      <w:r w:rsidR="00DD7203">
        <w:rPr>
          <w:iCs/>
        </w:rPr>
        <w:t>20</w:t>
      </w:r>
      <w:r w:rsidRPr="00A51821">
        <w:rPr>
          <w:iCs/>
        </w:rPr>
        <w:t xml:space="preserve"> r. wielkość emisji pyłu PM</w:t>
      </w:r>
      <w:r w:rsidRPr="00A51821">
        <w:rPr>
          <w:iCs/>
          <w:vertAlign w:val="subscript"/>
        </w:rPr>
        <w:t>10</w:t>
      </w:r>
      <w:r w:rsidRPr="00A51821">
        <w:rPr>
          <w:iCs/>
        </w:rPr>
        <w:t xml:space="preserve"> wyniosła </w:t>
      </w:r>
      <w:r w:rsidR="00DD7203">
        <w:rPr>
          <w:iCs/>
        </w:rPr>
        <w:t>340,4</w:t>
      </w:r>
      <w:r w:rsidRPr="00A51821">
        <w:rPr>
          <w:iCs/>
        </w:rPr>
        <w:t xml:space="preserve"> tys. ton </w:t>
      </w:r>
      <w:r w:rsidR="00DD7203" w:rsidRPr="00DD7203">
        <w:rPr>
          <w:iCs/>
        </w:rPr>
        <w:t>i była niższa zarówno w odniesieniu do roku poprzedniego, jak i</w:t>
      </w:r>
      <w:r w:rsidR="00FD1CA8">
        <w:rPr>
          <w:iCs/>
        </w:rPr>
        <w:t> </w:t>
      </w:r>
      <w:r w:rsidR="00DD7203" w:rsidRPr="00DD7203">
        <w:rPr>
          <w:iCs/>
        </w:rPr>
        <w:t>2000</w:t>
      </w:r>
      <w:r w:rsidR="00FD1CA8">
        <w:rPr>
          <w:iCs/>
        </w:rPr>
        <w:t> </w:t>
      </w:r>
      <w:r w:rsidR="00DD7203" w:rsidRPr="00DD7203">
        <w:rPr>
          <w:iCs/>
        </w:rPr>
        <w:t>odpowiednio o 0,8% i 18,4%</w:t>
      </w:r>
      <w:r w:rsidR="00DD7203">
        <w:rPr>
          <w:iCs/>
        </w:rPr>
        <w:t>.</w:t>
      </w:r>
      <w:r w:rsidRPr="00A51821">
        <w:rPr>
          <w:iCs/>
        </w:rPr>
        <w:t xml:space="preserve"> W przypadku pyłu PM</w:t>
      </w:r>
      <w:r w:rsidRPr="00A51821">
        <w:rPr>
          <w:iCs/>
          <w:vertAlign w:val="subscript"/>
        </w:rPr>
        <w:t>2,5</w:t>
      </w:r>
      <w:r w:rsidRPr="00A51821">
        <w:rPr>
          <w:iCs/>
        </w:rPr>
        <w:t xml:space="preserve"> jego emisja wyniosła </w:t>
      </w:r>
      <w:r w:rsidR="00DD7203">
        <w:rPr>
          <w:iCs/>
        </w:rPr>
        <w:t>254,5</w:t>
      </w:r>
      <w:r w:rsidRPr="00A51821">
        <w:rPr>
          <w:iCs/>
        </w:rPr>
        <w:t xml:space="preserve"> tys. ton i uległa zmniejszeniu o</w:t>
      </w:r>
      <w:r w:rsidR="00DD7203">
        <w:rPr>
          <w:iCs/>
        </w:rPr>
        <w:t xml:space="preserve"> 0,4</w:t>
      </w:r>
      <w:r w:rsidRPr="00A51821">
        <w:rPr>
          <w:iCs/>
        </w:rPr>
        <w:t>% w stosunku do 201</w:t>
      </w:r>
      <w:r w:rsidR="00DD7203">
        <w:rPr>
          <w:iCs/>
        </w:rPr>
        <w:t>9</w:t>
      </w:r>
      <w:r w:rsidRPr="00A51821">
        <w:rPr>
          <w:iCs/>
        </w:rPr>
        <w:t xml:space="preserve"> r. i o </w:t>
      </w:r>
      <w:r w:rsidR="00DD7203">
        <w:rPr>
          <w:iCs/>
        </w:rPr>
        <w:t>17</w:t>
      </w:r>
      <w:r w:rsidRPr="00A51821">
        <w:rPr>
          <w:iCs/>
        </w:rPr>
        <w:t>,</w:t>
      </w:r>
      <w:r w:rsidR="00DD7203">
        <w:rPr>
          <w:iCs/>
        </w:rPr>
        <w:t>2</w:t>
      </w:r>
      <w:r w:rsidRPr="00A51821">
        <w:rPr>
          <w:iCs/>
        </w:rPr>
        <w:t>% w odniesieniu do 2000 r. W</w:t>
      </w:r>
      <w:r w:rsidR="00FD1CA8">
        <w:rPr>
          <w:iCs/>
        </w:rPr>
        <w:t> </w:t>
      </w:r>
      <w:r w:rsidRPr="00A51821">
        <w:rPr>
          <w:iCs/>
        </w:rPr>
        <w:t>przeliczeniu na 1 mieszkańca w 20</w:t>
      </w:r>
      <w:r w:rsidR="00DD7203">
        <w:rPr>
          <w:iCs/>
        </w:rPr>
        <w:t>20</w:t>
      </w:r>
      <w:r w:rsidRPr="00A51821">
        <w:rPr>
          <w:iCs/>
        </w:rPr>
        <w:t xml:space="preserve"> r. wyemitowano </w:t>
      </w:r>
      <w:r w:rsidR="00DD7203">
        <w:rPr>
          <w:iCs/>
        </w:rPr>
        <w:t>8,9</w:t>
      </w:r>
      <w:r w:rsidRPr="00A51821">
        <w:rPr>
          <w:iCs/>
        </w:rPr>
        <w:t xml:space="preserve"> kg pyłu PM</w:t>
      </w:r>
      <w:r w:rsidRPr="00A51821">
        <w:rPr>
          <w:iCs/>
          <w:vertAlign w:val="subscript"/>
        </w:rPr>
        <w:t>10</w:t>
      </w:r>
      <w:r w:rsidRPr="00A51821">
        <w:rPr>
          <w:iCs/>
        </w:rPr>
        <w:t xml:space="preserve">, w tym </w:t>
      </w:r>
      <w:r w:rsidR="00DD7203">
        <w:rPr>
          <w:iCs/>
        </w:rPr>
        <w:t>6,7</w:t>
      </w:r>
      <w:r w:rsidRPr="00A51821">
        <w:rPr>
          <w:iCs/>
        </w:rPr>
        <w:t xml:space="preserve"> kg pyłu PM</w:t>
      </w:r>
      <w:r w:rsidRPr="00A51821">
        <w:rPr>
          <w:iCs/>
          <w:vertAlign w:val="subscript"/>
        </w:rPr>
        <w:t>2,5</w:t>
      </w:r>
      <w:r w:rsidRPr="00A51821">
        <w:rPr>
          <w:iCs/>
        </w:rPr>
        <w:t xml:space="preserve"> i były to </w:t>
      </w:r>
      <w:r w:rsidR="00133036">
        <w:rPr>
          <w:iCs/>
        </w:rPr>
        <w:t>naj</w:t>
      </w:r>
      <w:r w:rsidRPr="00A51821">
        <w:rPr>
          <w:iCs/>
        </w:rPr>
        <w:t xml:space="preserve">niższe </w:t>
      </w:r>
      <w:r w:rsidR="00BB2CE8">
        <w:rPr>
          <w:iCs/>
        </w:rPr>
        <w:t>wartości wskaźnika</w:t>
      </w:r>
      <w:r w:rsidR="00CA31CC">
        <w:rPr>
          <w:iCs/>
        </w:rPr>
        <w:t xml:space="preserve"> notowane</w:t>
      </w:r>
      <w:r w:rsidR="00BB2CE8">
        <w:rPr>
          <w:iCs/>
        </w:rPr>
        <w:t xml:space="preserve"> </w:t>
      </w:r>
      <w:r w:rsidRPr="00A51821">
        <w:rPr>
          <w:iCs/>
        </w:rPr>
        <w:t>od 2000 r.</w:t>
      </w:r>
    </w:p>
    <w:p w14:paraId="15369051" w14:textId="77777777" w:rsidR="00B87195" w:rsidRDefault="00B87195" w:rsidP="00A51821">
      <w:pPr>
        <w:pStyle w:val="tekstOP"/>
        <w:rPr>
          <w:iCs/>
        </w:rPr>
      </w:pPr>
    </w:p>
    <w:p w14:paraId="6B566A78" w14:textId="698CD572" w:rsidR="00DD7203" w:rsidRDefault="00DD7203">
      <w:pPr>
        <w:spacing w:before="0" w:after="160" w:line="259" w:lineRule="auto"/>
        <w:rPr>
          <w:iCs/>
          <w:szCs w:val="19"/>
          <w:shd w:val="clear" w:color="auto" w:fill="FFFFFF"/>
        </w:rPr>
      </w:pPr>
      <w:r>
        <w:rPr>
          <w:iCs/>
        </w:rPr>
        <w:br w:type="page"/>
      </w:r>
    </w:p>
    <w:p w14:paraId="6EF52C5F" w14:textId="205ED22B" w:rsidR="00DD7203" w:rsidRPr="00DD7203" w:rsidRDefault="009418BD" w:rsidP="00DD7203">
      <w:pPr>
        <w:spacing w:before="360" w:line="240" w:lineRule="auto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0B17F5B" wp14:editId="7F22EF93">
                <wp:simplePos x="0" y="0"/>
                <wp:positionH relativeFrom="column">
                  <wp:posOffset>-33867</wp:posOffset>
                </wp:positionH>
                <wp:positionV relativeFrom="paragraph">
                  <wp:posOffset>122767</wp:posOffset>
                </wp:positionV>
                <wp:extent cx="4081357" cy="2152226"/>
                <wp:effectExtent l="0" t="0" r="0" b="63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357" cy="2152226"/>
                          <a:chOff x="0" y="0"/>
                          <a:chExt cx="4081357" cy="2152226"/>
                        </a:xfrm>
                      </wpg:grpSpPr>
                      <wps:wsp>
                        <wps:cNvPr id="10" name="Pole tekstowe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EFA80" w14:textId="2A61993E" w:rsidR="00DD7203" w:rsidRPr="00DD7203" w:rsidRDefault="00DD7203" w:rsidP="00DD7203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8"/>
                                  <w:szCs w:val="19"/>
                                </w:rPr>
                              </w:pPr>
                              <w:r w:rsidRPr="0011469A">
                                <w:rPr>
                                  <w:sz w:val="18"/>
                                  <w:szCs w:val="19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Pole tekstowe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01234" y="1900766"/>
                            <a:ext cx="1089872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CD1618" w14:textId="03E84E02" w:rsidR="009418BD" w:rsidRPr="0011469A" w:rsidRDefault="009418BD" w:rsidP="009418BD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9"/>
                                </w:rPr>
                                <w:t>Pył zawieszony PM</w:t>
                              </w:r>
                              <w:r w:rsidRPr="0011469A">
                                <w:rPr>
                                  <w:sz w:val="18"/>
                                  <w:szCs w:val="19"/>
                                  <w:vertAlign w:val="subscript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000" tIns="45720" rIns="91440" bIns="45720" anchor="t" anchorCtr="0" upright="1">
                          <a:noAutofit/>
                        </wps:bodyPr>
                      </wps:wsp>
                      <wps:wsp>
                        <wps:cNvPr id="26" name="Pole tekstowe 2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900766"/>
                            <a:ext cx="1122257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773D9D" w14:textId="4CDDD4DD" w:rsidR="009418BD" w:rsidRPr="0011469A" w:rsidRDefault="009418BD" w:rsidP="009418BD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9"/>
                                </w:rPr>
                                <w:t>Pył zawieszony PM</w:t>
                              </w:r>
                              <w:r>
                                <w:rPr>
                                  <w:sz w:val="18"/>
                                  <w:szCs w:val="19"/>
                                  <w:vertAlign w:val="subscript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36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17F5B" id="Grupa 27" o:spid="_x0000_s1031" style="position:absolute;margin-left:-2.65pt;margin-top:9.65pt;width:321.35pt;height:169.45pt;z-index:251840512" coordsize="40813,2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">
                <v:shape id="Pole tekstowe 10" o:spid="_x0000_s1032" type="#_x0000_t202" style="position:absolute;width:56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AAEFA80" w14:textId="2A61993E" w:rsidR="00DD7203" w:rsidRPr="00DD7203" w:rsidRDefault="00DD7203" w:rsidP="00DD7203">
                        <w:pPr>
                          <w:spacing w:before="0" w:after="0" w:line="240" w:lineRule="auto"/>
                          <w:ind w:left="-57" w:right="-57"/>
                          <w:rPr>
                            <w:sz w:val="18"/>
                            <w:szCs w:val="19"/>
                          </w:rPr>
                        </w:pPr>
                        <w:r w:rsidRPr="0011469A">
                          <w:rPr>
                            <w:sz w:val="18"/>
                            <w:szCs w:val="19"/>
                          </w:rPr>
                          <w:t>kg</w:t>
                        </w:r>
                      </w:p>
                    </w:txbxContent>
                  </v:textbox>
                </v:shape>
                <v:shape id="Pole tekstowe 25" o:spid="_x0000_s1033" type="#_x0000_t202" style="position:absolute;left:14012;top:19007;width:1089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" fillcolor="white [3212]" stroked="f">
                  <v:textbox inset="1mm">
                    <w:txbxContent>
                      <w:p w14:paraId="22CD1618" w14:textId="03E84E02" w:rsidR="009418BD" w:rsidRPr="0011469A" w:rsidRDefault="009418BD" w:rsidP="009418BD">
                        <w:pPr>
                          <w:spacing w:before="0" w:after="0" w:line="240" w:lineRule="auto"/>
                          <w:ind w:left="-57" w:right="-57"/>
                          <w:rPr>
                            <w:sz w:val="16"/>
                            <w:vertAlign w:val="superscript"/>
                          </w:rPr>
                        </w:pPr>
                        <w:r>
                          <w:rPr>
                            <w:sz w:val="18"/>
                            <w:szCs w:val="19"/>
                          </w:rPr>
                          <w:t>Pył zawieszony PM</w:t>
                        </w:r>
                        <w:r w:rsidRPr="0011469A">
                          <w:rPr>
                            <w:sz w:val="18"/>
                            <w:szCs w:val="19"/>
                            <w:vertAlign w:val="subscript"/>
                          </w:rPr>
                          <w:t>10</w:t>
                        </w:r>
                      </w:p>
                    </w:txbxContent>
                  </v:textbox>
                </v:shape>
                <v:shape id="Pole tekstowe 26" o:spid="_x0000_s1034" type="#_x0000_t202" style="position:absolute;left:29591;top:19007;width:1122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" fillcolor="white [3212]" stroked="f">
                  <v:textbox inset="1mm">
                    <w:txbxContent>
                      <w:p w14:paraId="38773D9D" w14:textId="4CDDD4DD" w:rsidR="009418BD" w:rsidRPr="0011469A" w:rsidRDefault="009418BD" w:rsidP="009418BD">
                        <w:pPr>
                          <w:spacing w:before="0" w:after="0" w:line="240" w:lineRule="auto"/>
                          <w:ind w:left="-57" w:right="-57"/>
                          <w:rPr>
                            <w:sz w:val="16"/>
                            <w:vertAlign w:val="superscript"/>
                          </w:rPr>
                        </w:pPr>
                        <w:r>
                          <w:rPr>
                            <w:sz w:val="18"/>
                            <w:szCs w:val="19"/>
                          </w:rPr>
                          <w:t>Pył zawieszony PM</w:t>
                        </w:r>
                        <w:r>
                          <w:rPr>
                            <w:sz w:val="18"/>
                            <w:szCs w:val="19"/>
                            <w:vertAlign w:val="subscript"/>
                          </w:rPr>
                          <w:t>2,5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7203">
        <w:rPr>
          <w:b/>
          <w:szCs w:val="19"/>
          <w:shd w:val="clear" w:color="auto" w:fill="FFFFFF"/>
        </w:rPr>
        <w:t>Wykres 2</w:t>
      </w:r>
      <w:r w:rsidR="00DD7203" w:rsidRPr="000834B7">
        <w:rPr>
          <w:b/>
          <w:szCs w:val="19"/>
          <w:shd w:val="clear" w:color="auto" w:fill="FFFFFF"/>
        </w:rPr>
        <w:t xml:space="preserve">. </w:t>
      </w:r>
      <w:r w:rsidR="00DD7203" w:rsidRPr="00DD7203">
        <w:rPr>
          <w:b/>
          <w:szCs w:val="19"/>
          <w:shd w:val="clear" w:color="auto" w:fill="FFFFFF"/>
        </w:rPr>
        <w:t>Wielkość emisji pyłu zawieszonego PM</w:t>
      </w:r>
      <w:r w:rsidR="00DD7203" w:rsidRPr="00DD7203">
        <w:rPr>
          <w:b/>
          <w:szCs w:val="19"/>
          <w:shd w:val="clear" w:color="auto" w:fill="FFFFFF"/>
          <w:vertAlign w:val="subscript"/>
        </w:rPr>
        <w:t>10</w:t>
      </w:r>
      <w:r w:rsidR="00DD7203" w:rsidRPr="00DD7203">
        <w:rPr>
          <w:b/>
          <w:szCs w:val="19"/>
          <w:shd w:val="clear" w:color="auto" w:fill="FFFFFF"/>
        </w:rPr>
        <w:t xml:space="preserve"> i PM</w:t>
      </w:r>
      <w:r w:rsidR="00DD7203" w:rsidRPr="00DD7203">
        <w:rPr>
          <w:b/>
          <w:szCs w:val="19"/>
          <w:shd w:val="clear" w:color="auto" w:fill="FFFFFF"/>
          <w:vertAlign w:val="subscript"/>
        </w:rPr>
        <w:t>2,5</w:t>
      </w:r>
      <w:r w:rsidR="00DD7203" w:rsidRPr="00DD7203">
        <w:rPr>
          <w:b/>
          <w:szCs w:val="19"/>
          <w:shd w:val="clear" w:color="auto" w:fill="FFFFFF"/>
        </w:rPr>
        <w:t xml:space="preserve"> na 1 mieszkańca</w:t>
      </w:r>
    </w:p>
    <w:p w14:paraId="4EB41B6B" w14:textId="5A9D1598" w:rsidR="00DD7203" w:rsidRDefault="00DF74F6" w:rsidP="00DD7203">
      <w:pPr>
        <w:pStyle w:val="tekstOP"/>
        <w:spacing w:before="240" w:after="0"/>
        <w:rPr>
          <w:color w:val="000000" w:themeColor="text1"/>
          <w:sz w:val="16"/>
        </w:rPr>
      </w:pPr>
      <w:r>
        <w:rPr>
          <w:noProof/>
          <w:lang w:eastAsia="pl-PL"/>
        </w:rPr>
        <w:drawing>
          <wp:inline distT="0" distB="0" distL="0" distR="0" wp14:anchorId="57525E3B" wp14:editId="369FA5AF">
            <wp:extent cx="5040000" cy="1980000"/>
            <wp:effectExtent l="0" t="0" r="8255" b="1270"/>
            <wp:docPr id="6" name="Wykres 6" descr="Wykres 2. Wielkość emisji pyłu zawieszonego PM10 i PM2,5 na 1 mieszkańca. Dane do wykresu dostępne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E8CA8B7" w14:textId="5E4F252F" w:rsidR="00DD7203" w:rsidRPr="00E27BB3" w:rsidRDefault="00BB2CE8" w:rsidP="00DD7203">
      <w:pPr>
        <w:pStyle w:val="tekstOP"/>
        <w:spacing w:before="0"/>
        <w:rPr>
          <w:color w:val="000000" w:themeColor="text1"/>
          <w:sz w:val="16"/>
        </w:rPr>
      </w:pPr>
      <w:r w:rsidRPr="00E27BB3">
        <w:rPr>
          <w:noProof/>
          <w:color w:val="000000" w:themeColor="text1"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BBDBB98" wp14:editId="59879CF5">
                <wp:simplePos x="0" y="0"/>
                <wp:positionH relativeFrom="column">
                  <wp:posOffset>5220970</wp:posOffset>
                </wp:positionH>
                <wp:positionV relativeFrom="paragraph">
                  <wp:posOffset>297603</wp:posOffset>
                </wp:positionV>
                <wp:extent cx="1836000" cy="720000"/>
                <wp:effectExtent l="0" t="0" r="0" b="4445"/>
                <wp:wrapNone/>
                <wp:docPr id="31" name="Pole tekstowe 31" descr="W 2021 r. odnotowano najniższą od 2010 r. wartość krajowego wskaźnika średniego narażenia na pył PM2,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0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EA24B" w14:textId="0035FEB8" w:rsidR="00BB2CE8" w:rsidRPr="00BB2CE8" w:rsidRDefault="00BB2CE8" w:rsidP="00BB2CE8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202</w:t>
                            </w:r>
                            <w:r w:rsidR="00D03196">
                              <w:t>1</w:t>
                            </w:r>
                            <w:r>
                              <w:t xml:space="preserve"> r. odnotowano najniższ</w:t>
                            </w:r>
                            <w:r w:rsidR="00D03196">
                              <w:t xml:space="preserve">ą </w:t>
                            </w:r>
                            <w:r w:rsidR="00C370C2">
                              <w:t xml:space="preserve">od 2010 r. </w:t>
                            </w:r>
                            <w:r w:rsidR="00D03196">
                              <w:t>wartość krajowego wskaźnika średniego narażenia na pył</w:t>
                            </w:r>
                            <w:r>
                              <w:t xml:space="preserve"> PM</w:t>
                            </w:r>
                            <w:r w:rsidRPr="009418BD">
                              <w:rPr>
                                <w:vertAlign w:val="subscript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BB98" id="Pole tekstowe 31" o:spid="_x0000_s1035" type="#_x0000_t202" alt="W 2021 r. odnotowano najniższą od 2010 r. wartość krajowego wskaźnika średniego narażenia na pył PM2,5" style="position:absolute;margin-left:411.1pt;margin-top:23.45pt;width:144.55pt;height:56.7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" filled="f" stroked="f">
                <v:textbox>
                  <w:txbxContent>
                    <w:p w14:paraId="41AEA24B" w14:textId="0035FEB8" w:rsidR="00BB2CE8" w:rsidRPr="00BB2CE8" w:rsidRDefault="00BB2CE8" w:rsidP="00BB2CE8">
                      <w:pPr>
                        <w:pStyle w:val="tekstzboku"/>
                        <w:suppressAutoHyphens/>
                        <w:spacing w:before="0"/>
                      </w:pPr>
                      <w:r>
                        <w:t>W 202</w:t>
                      </w:r>
                      <w:r w:rsidR="00D03196">
                        <w:t>1</w:t>
                      </w:r>
                      <w:r>
                        <w:t xml:space="preserve"> r. odnotowano najniższ</w:t>
                      </w:r>
                      <w:r w:rsidR="00D03196">
                        <w:t xml:space="preserve">ą </w:t>
                      </w:r>
                      <w:r w:rsidR="00C370C2">
                        <w:t xml:space="preserve">od 2010 r. </w:t>
                      </w:r>
                      <w:r w:rsidR="00D03196">
                        <w:t>wartość krajowego wskaźnika średniego narażenia na pył</w:t>
                      </w:r>
                      <w:r>
                        <w:t xml:space="preserve"> PM</w:t>
                      </w:r>
                      <w:r w:rsidRPr="009418BD">
                        <w:rPr>
                          <w:vertAlign w:val="subscript"/>
                        </w:rPr>
                        <w:t>2,5</w:t>
                      </w:r>
                    </w:p>
                  </w:txbxContent>
                </v:textbox>
              </v:shape>
            </w:pict>
          </mc:Fallback>
        </mc:AlternateContent>
      </w:r>
      <w:r w:rsidR="00E27BB3" w:rsidRPr="00E27BB3">
        <w:rPr>
          <w:color w:val="000000" w:themeColor="text1"/>
          <w:sz w:val="16"/>
        </w:rPr>
        <w:t>Źródło: dane dotyczące wielkości emisji pyłu zawieszonego – Krajowy Ośrodek Bilansowania i Zarządzania Emisjami – Instytut Ochrony Środowiska – Państwowy Instytut Badawczy.</w:t>
      </w:r>
    </w:p>
    <w:p w14:paraId="5AE55306" w14:textId="00752A2E" w:rsidR="00DD7203" w:rsidRDefault="00B87195" w:rsidP="006D40E7">
      <w:pPr>
        <w:pStyle w:val="tekstOP"/>
        <w:ind w:right="-57"/>
        <w:rPr>
          <w:iCs/>
        </w:rPr>
      </w:pPr>
      <w:r w:rsidRPr="00B87195">
        <w:rPr>
          <w:iCs/>
        </w:rPr>
        <w:t>Krajowy wskaźnik średniego narażenia</w:t>
      </w:r>
      <w:r>
        <w:rPr>
          <w:iCs/>
        </w:rPr>
        <w:t xml:space="preserve"> </w:t>
      </w:r>
      <w:r w:rsidR="000519AB" w:rsidRPr="00B87195">
        <w:rPr>
          <w:iCs/>
        </w:rPr>
        <w:t>na pył PM</w:t>
      </w:r>
      <w:r w:rsidR="000519AB" w:rsidRPr="00B87195">
        <w:rPr>
          <w:iCs/>
          <w:vertAlign w:val="subscript"/>
        </w:rPr>
        <w:t>2,5</w:t>
      </w:r>
      <w:r w:rsidR="000519AB" w:rsidRPr="00B87195">
        <w:rPr>
          <w:iCs/>
        </w:rPr>
        <w:t xml:space="preserve"> </w:t>
      </w:r>
      <w:r>
        <w:rPr>
          <w:iCs/>
        </w:rPr>
        <w:t>(</w:t>
      </w:r>
      <w:r w:rsidR="000519AB" w:rsidRPr="000519AB">
        <w:rPr>
          <w:iCs/>
        </w:rPr>
        <w:t xml:space="preserve">wyznaczony na podstawie pomiarów przeprowadzonych w miastach o liczbie mieszkańców </w:t>
      </w:r>
      <w:r w:rsidR="00B20919">
        <w:rPr>
          <w:iCs/>
        </w:rPr>
        <w:t>powyżej</w:t>
      </w:r>
      <w:r w:rsidR="000519AB" w:rsidRPr="000519AB">
        <w:rPr>
          <w:iCs/>
        </w:rPr>
        <w:t xml:space="preserve"> 100 tysięcy i </w:t>
      </w:r>
      <w:r w:rsidR="00E32E99">
        <w:rPr>
          <w:iCs/>
        </w:rPr>
        <w:t>a</w:t>
      </w:r>
      <w:r w:rsidR="000519AB" w:rsidRPr="000519AB">
        <w:rPr>
          <w:iCs/>
        </w:rPr>
        <w:t>glomeracjach</w:t>
      </w:r>
      <w:r w:rsidR="000519AB">
        <w:rPr>
          <w:iCs/>
        </w:rPr>
        <w:t xml:space="preserve"> </w:t>
      </w:r>
      <w:r w:rsidR="000519AB" w:rsidRPr="000519AB">
        <w:rPr>
          <w:iCs/>
        </w:rPr>
        <w:t>na</w:t>
      </w:r>
      <w:r w:rsidR="00B20919">
        <w:rPr>
          <w:iCs/>
        </w:rPr>
        <w:t> </w:t>
      </w:r>
      <w:r w:rsidR="000519AB" w:rsidRPr="000519AB">
        <w:rPr>
          <w:iCs/>
        </w:rPr>
        <w:t>terenie całego kraju</w:t>
      </w:r>
      <w:r>
        <w:rPr>
          <w:iCs/>
        </w:rPr>
        <w:t>)</w:t>
      </w:r>
      <w:r w:rsidRPr="00B87195">
        <w:rPr>
          <w:iCs/>
        </w:rPr>
        <w:t xml:space="preserve"> </w:t>
      </w:r>
      <w:r>
        <w:rPr>
          <w:iCs/>
        </w:rPr>
        <w:t>o</w:t>
      </w:r>
      <w:r w:rsidRPr="00B87195">
        <w:rPr>
          <w:iCs/>
        </w:rPr>
        <w:t>dzwierciedla narażenie ludności na działanie zanieczyszczeń powietrza pyłem PM</w:t>
      </w:r>
      <w:r w:rsidRPr="00B87195">
        <w:rPr>
          <w:iCs/>
          <w:vertAlign w:val="subscript"/>
        </w:rPr>
        <w:t>2,5</w:t>
      </w:r>
      <w:r w:rsidRPr="00B87195">
        <w:rPr>
          <w:iCs/>
        </w:rPr>
        <w:t xml:space="preserve"> i jest liczony jako średnia arytmetyczna ze średnich rocznych stężeń pyłu PM</w:t>
      </w:r>
      <w:r w:rsidRPr="00B87195">
        <w:rPr>
          <w:iCs/>
          <w:vertAlign w:val="subscript"/>
        </w:rPr>
        <w:t>2,5</w:t>
      </w:r>
      <w:r w:rsidRPr="00B87195">
        <w:rPr>
          <w:iCs/>
        </w:rPr>
        <w:t xml:space="preserve"> z trzech lat. W 2021 r. omawiany wskaźnik osiągnął wartość 17 µg/m</w:t>
      </w:r>
      <w:r w:rsidRPr="00B87195">
        <w:rPr>
          <w:iCs/>
          <w:vertAlign w:val="superscript"/>
        </w:rPr>
        <w:t>3</w:t>
      </w:r>
      <w:r w:rsidR="004B0B11">
        <w:rPr>
          <w:iCs/>
        </w:rPr>
        <w:t xml:space="preserve">. </w:t>
      </w:r>
      <w:r w:rsidR="003E22F7" w:rsidRPr="003E22F7">
        <w:rPr>
          <w:iCs/>
        </w:rPr>
        <w:t>Rok 2021 był kolejnym, w którym odnotowano spadek wartości krajowego wskaźnika narażenia na pył zawieszony PM</w:t>
      </w:r>
      <w:r w:rsidR="003E22F7" w:rsidRPr="003E22F7">
        <w:rPr>
          <w:iCs/>
          <w:vertAlign w:val="subscript"/>
        </w:rPr>
        <w:t>2,5</w:t>
      </w:r>
      <w:r w:rsidR="003E22F7" w:rsidRPr="003E22F7">
        <w:rPr>
          <w:iCs/>
        </w:rPr>
        <w:t xml:space="preserve"> i pierwszym, kiedy </w:t>
      </w:r>
      <w:r w:rsidR="006D40E7" w:rsidRPr="006D40E7">
        <w:rPr>
          <w:iCs/>
        </w:rPr>
        <w:t>wskaźnik średniego narażenia nie przekroczył krajowego celu redukcji narażenia na pył zawieszony PM</w:t>
      </w:r>
      <w:r w:rsidR="006D40E7" w:rsidRPr="006D40E7">
        <w:rPr>
          <w:iCs/>
          <w:vertAlign w:val="subscript"/>
        </w:rPr>
        <w:t>2,5</w:t>
      </w:r>
      <w:r w:rsidR="006D40E7" w:rsidRPr="006D40E7">
        <w:rPr>
          <w:iCs/>
        </w:rPr>
        <w:t xml:space="preserve"> (18 </w:t>
      </w:r>
      <w:proofErr w:type="spellStart"/>
      <w:r w:rsidR="006D40E7" w:rsidRPr="006D40E7">
        <w:rPr>
          <w:iCs/>
        </w:rPr>
        <w:t>μg</w:t>
      </w:r>
      <w:proofErr w:type="spellEnd"/>
      <w:r w:rsidR="006D40E7" w:rsidRPr="006D40E7">
        <w:rPr>
          <w:iCs/>
        </w:rPr>
        <w:t>/m</w:t>
      </w:r>
      <w:r w:rsidR="006D40E7" w:rsidRPr="006D40E7">
        <w:rPr>
          <w:iCs/>
          <w:vertAlign w:val="superscript"/>
        </w:rPr>
        <w:t>3</w:t>
      </w:r>
      <w:r w:rsidR="006D40E7" w:rsidRPr="006D40E7">
        <w:rPr>
          <w:iCs/>
        </w:rPr>
        <w:t xml:space="preserve">), który należało osiągnąć do 2020 r. Ponadto, wartość krajowego wskaźnika średniego narażenia </w:t>
      </w:r>
      <w:r w:rsidR="00083C27">
        <w:rPr>
          <w:iCs/>
        </w:rPr>
        <w:t>w</w:t>
      </w:r>
      <w:r w:rsidR="004B0B11">
        <w:rPr>
          <w:iCs/>
        </w:rPr>
        <w:t> </w:t>
      </w:r>
      <w:r w:rsidR="006D40E7" w:rsidRPr="006D40E7">
        <w:rPr>
          <w:iCs/>
        </w:rPr>
        <w:t xml:space="preserve">2021 r. była o 15,0% mniejsza od pułapu stężenia ekspozycji (20 </w:t>
      </w:r>
      <w:proofErr w:type="spellStart"/>
      <w:r w:rsidR="006D40E7" w:rsidRPr="006D40E7">
        <w:rPr>
          <w:iCs/>
        </w:rPr>
        <w:t>μg</w:t>
      </w:r>
      <w:proofErr w:type="spellEnd"/>
      <w:r w:rsidR="006D40E7" w:rsidRPr="006D40E7">
        <w:rPr>
          <w:iCs/>
        </w:rPr>
        <w:t>/m</w:t>
      </w:r>
      <w:r w:rsidR="006D40E7" w:rsidRPr="006D40E7">
        <w:rPr>
          <w:iCs/>
          <w:vertAlign w:val="superscript"/>
        </w:rPr>
        <w:t>3</w:t>
      </w:r>
      <w:r w:rsidR="006D40E7" w:rsidRPr="006D40E7">
        <w:rPr>
          <w:iCs/>
        </w:rPr>
        <w:t xml:space="preserve">) będącego standardem jakości powietrza, który należy </w:t>
      </w:r>
      <w:r w:rsidR="004B0B11">
        <w:rPr>
          <w:iCs/>
        </w:rPr>
        <w:t>zapewniać</w:t>
      </w:r>
      <w:r w:rsidR="006D40E7" w:rsidRPr="006D40E7">
        <w:rPr>
          <w:iCs/>
        </w:rPr>
        <w:t xml:space="preserve"> od</w:t>
      </w:r>
      <w:r w:rsidR="006D40E7">
        <w:rPr>
          <w:iCs/>
        </w:rPr>
        <w:t> </w:t>
      </w:r>
      <w:r w:rsidR="006D40E7" w:rsidRPr="006D40E7">
        <w:rPr>
          <w:iCs/>
        </w:rPr>
        <w:t>2015 r.</w:t>
      </w:r>
    </w:p>
    <w:p w14:paraId="6FF79631" w14:textId="2BACDD95" w:rsidR="00D03196" w:rsidRDefault="004B23C2" w:rsidP="00D03196">
      <w:pPr>
        <w:pStyle w:val="tekstOP"/>
        <w:spacing w:before="240"/>
        <w:rPr>
          <w:b/>
          <w:color w:val="001D77"/>
        </w:rPr>
      </w:pPr>
      <w:r w:rsidRPr="004B23C2">
        <w:rPr>
          <w:b/>
          <w:color w:val="001D77"/>
        </w:rPr>
        <w:t>Hałas lotniczy</w:t>
      </w:r>
    </w:p>
    <w:p w14:paraId="66669361" w14:textId="1187E60B" w:rsidR="004B23C2" w:rsidRDefault="004B23C2" w:rsidP="004B23C2">
      <w:pPr>
        <w:pStyle w:val="tekstOP"/>
        <w:rPr>
          <w:iCs/>
        </w:rPr>
      </w:pPr>
      <w:r w:rsidRPr="004B23C2">
        <w:rPr>
          <w:iCs/>
        </w:rPr>
        <w:t>Oceny stanu akustycznego środowiska i obserwacji zmian dokonuje się obowiązkowo co 5 lat w ramach Państwowego Monitoringu Środowiska (PMŚ) realizowanego przez Główny Inspektorat Ochrony Środowiska. Ostatnia ocena miała miejsce w 2017 r.</w:t>
      </w:r>
    </w:p>
    <w:p w14:paraId="4F7A457D" w14:textId="43ECDEC4" w:rsidR="004B23C2" w:rsidRPr="004B23C2" w:rsidRDefault="004B23C2" w:rsidP="004B23C2">
      <w:pPr>
        <w:pStyle w:val="tekstOP"/>
        <w:rPr>
          <w:iCs/>
        </w:rPr>
      </w:pPr>
      <w:r w:rsidRPr="004B23C2">
        <w:rPr>
          <w:iCs/>
        </w:rPr>
        <w:t>Hałas lotniczy dotyczy stosunkowo małej liczby ludności Polski, zamieszkującej strefy w</w:t>
      </w:r>
      <w:r w:rsidR="00FD1CA8">
        <w:rPr>
          <w:iCs/>
        </w:rPr>
        <w:t> </w:t>
      </w:r>
      <w:r w:rsidRPr="004B23C2">
        <w:rPr>
          <w:iCs/>
        </w:rPr>
        <w:t>pobliżu portów lotniczych, jednak ze względu n</w:t>
      </w:r>
      <w:r w:rsidR="003E22F7">
        <w:rPr>
          <w:iCs/>
        </w:rPr>
        <w:t xml:space="preserve">a swoją specyfikę, wydaje się </w:t>
      </w:r>
      <w:r w:rsidRPr="004B23C2">
        <w:rPr>
          <w:iCs/>
        </w:rPr>
        <w:t>bardz</w:t>
      </w:r>
      <w:r w:rsidR="003E22F7">
        <w:rPr>
          <w:iCs/>
        </w:rPr>
        <w:t>o</w:t>
      </w:r>
      <w:r w:rsidRPr="004B23C2">
        <w:rPr>
          <w:iCs/>
        </w:rPr>
        <w:t xml:space="preserve"> uciążliwym dla mieszkańców.</w:t>
      </w:r>
    </w:p>
    <w:p w14:paraId="474409CD" w14:textId="48CA8704" w:rsidR="00D03196" w:rsidRPr="00A1503E" w:rsidRDefault="004B23C2" w:rsidP="004B23C2">
      <w:pPr>
        <w:pStyle w:val="tekstOP"/>
        <w:rPr>
          <w:iCs/>
        </w:rPr>
      </w:pPr>
      <w:r w:rsidRPr="004B23C2">
        <w:rPr>
          <w:iCs/>
        </w:rPr>
        <w:t>Zidentyfikowany w 2017 r. na mapach akustycznych problem hałasu lotniczego obejmował 6</w:t>
      </w:r>
      <w:r>
        <w:rPr>
          <w:iCs/>
        </w:rPr>
        <w:t> aglo</w:t>
      </w:r>
      <w:r w:rsidRPr="004B23C2">
        <w:rPr>
          <w:iCs/>
        </w:rPr>
        <w:t xml:space="preserve">meracji posiadających w swoich granicach lotnisko. Liczba osób eksponowanych na ten rodzaj hałasu była wyraźnie zależna od pory dnia. W porze dzienno-wieczorno-nocnej na hałas o poziomie powyżej 55 </w:t>
      </w:r>
      <w:proofErr w:type="spellStart"/>
      <w:r w:rsidRPr="004B23C2">
        <w:rPr>
          <w:iCs/>
        </w:rPr>
        <w:t>dB</w:t>
      </w:r>
      <w:proofErr w:type="spellEnd"/>
      <w:r w:rsidRPr="004B23C2">
        <w:rPr>
          <w:iCs/>
        </w:rPr>
        <w:t xml:space="preserve"> narażonych było 52,1 tys. osób, natomiast w porze nocnej na hałas o poziomie powyżej 50 </w:t>
      </w:r>
      <w:proofErr w:type="spellStart"/>
      <w:r w:rsidRPr="004B23C2">
        <w:rPr>
          <w:iCs/>
        </w:rPr>
        <w:t>dB</w:t>
      </w:r>
      <w:proofErr w:type="spellEnd"/>
      <w:r w:rsidRPr="004B23C2">
        <w:rPr>
          <w:iCs/>
        </w:rPr>
        <w:t xml:space="preserve"> – 5,9 tys. osób. Porównując powyższe dane z wynikami uzyskanymi w 2012 r. można stwierdzić, że sytuacja poprawiła się w porze dzienno-</w:t>
      </w:r>
      <w:proofErr w:type="spellStart"/>
      <w:r w:rsidRPr="004B23C2">
        <w:rPr>
          <w:iCs/>
        </w:rPr>
        <w:t>wieczorno</w:t>
      </w:r>
      <w:proofErr w:type="spellEnd"/>
      <w:r w:rsidRPr="004B23C2">
        <w:rPr>
          <w:iCs/>
        </w:rPr>
        <w:t>-</w:t>
      </w:r>
      <w:r w:rsidR="00FD1CA8">
        <w:rPr>
          <w:iCs/>
        </w:rPr>
        <w:t>-</w:t>
      </w:r>
      <w:r w:rsidRPr="004B23C2">
        <w:rPr>
          <w:iCs/>
        </w:rPr>
        <w:t>nocnej, ponieważ liczba mieszkańców eksponowanych na hałas samolotowy uległa zmniejszeniu (o 14,7%). Jednocześnie zaobserwowa</w:t>
      </w:r>
      <w:r>
        <w:rPr>
          <w:iCs/>
        </w:rPr>
        <w:t>no pogorsze</w:t>
      </w:r>
      <w:r w:rsidRPr="004B23C2">
        <w:rPr>
          <w:iCs/>
        </w:rPr>
        <w:t>nie stanu akustycznego w</w:t>
      </w:r>
      <w:r w:rsidR="00FD1CA8">
        <w:rPr>
          <w:iCs/>
        </w:rPr>
        <w:t> </w:t>
      </w:r>
      <w:r w:rsidRPr="004B23C2">
        <w:rPr>
          <w:iCs/>
        </w:rPr>
        <w:t>porze nocnej, podczas której liczba ludności narażonej na ten rodzaj hałasu wzrosła o</w:t>
      </w:r>
      <w:r w:rsidR="00FD1CA8">
        <w:rPr>
          <w:iCs/>
        </w:rPr>
        <w:t> </w:t>
      </w:r>
      <w:r w:rsidRPr="004B23C2">
        <w:rPr>
          <w:iCs/>
        </w:rPr>
        <w:t>40,5%.</w:t>
      </w:r>
    </w:p>
    <w:p w14:paraId="38464579" w14:textId="40CDF236" w:rsidR="004B23C2" w:rsidRPr="009D71F4" w:rsidRDefault="009D71F4" w:rsidP="004B23C2">
      <w:pPr>
        <w:spacing w:before="360" w:after="0" w:line="240" w:lineRule="auto"/>
        <w:rPr>
          <w:b/>
          <w:color w:val="001D77"/>
          <w:sz w:val="22"/>
        </w:rPr>
      </w:pPr>
      <w:r w:rsidRPr="009D71F4">
        <w:rPr>
          <w:b/>
          <w:color w:val="001D77"/>
          <w:sz w:val="22"/>
        </w:rPr>
        <w:t>Polityki gospodarcze i ich następstwa</w:t>
      </w:r>
    </w:p>
    <w:p w14:paraId="03142612" w14:textId="345602B7" w:rsidR="004B23C2" w:rsidRPr="009D71F4" w:rsidRDefault="000519AB" w:rsidP="004B23C2">
      <w:pPr>
        <w:spacing w:before="240" w:line="240" w:lineRule="auto"/>
        <w:rPr>
          <w:b/>
          <w:color w:val="001D77"/>
          <w:szCs w:val="19"/>
        </w:rPr>
      </w:pPr>
      <w:r w:rsidRPr="009D71F4">
        <w:rPr>
          <w:rFonts w:eastAsia="Times New Roman" w:cs="Times New Roman"/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7052E9F" wp14:editId="62F16C8C">
                <wp:simplePos x="0" y="0"/>
                <wp:positionH relativeFrom="column">
                  <wp:posOffset>5220970</wp:posOffset>
                </wp:positionH>
                <wp:positionV relativeFrom="paragraph">
                  <wp:posOffset>310938</wp:posOffset>
                </wp:positionV>
                <wp:extent cx="1799590" cy="719455"/>
                <wp:effectExtent l="0" t="0" r="0" b="4445"/>
                <wp:wrapNone/>
                <wp:docPr id="32" name="Pole tekstowe 32" descr="W 2021 r. przeciętna wielkość ekologicznego gospodarstwa rolnego wyniosła 27,5 ha i była najwyższa od 200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9717F" w14:textId="3FE78D4A" w:rsidR="004B23C2" w:rsidRPr="00BB2CE8" w:rsidRDefault="004B23C2" w:rsidP="004B23C2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202</w:t>
                            </w:r>
                            <w:r w:rsidR="000519AB">
                              <w:t>1</w:t>
                            </w:r>
                            <w:r>
                              <w:t xml:space="preserve"> r. </w:t>
                            </w:r>
                            <w:r w:rsidR="000519AB">
                              <w:t>p</w:t>
                            </w:r>
                            <w:r w:rsidR="000519AB" w:rsidRPr="000519AB">
                              <w:t xml:space="preserve">rzeciętna wielkość </w:t>
                            </w:r>
                            <w:r w:rsidR="000519AB">
                              <w:t xml:space="preserve">ekologicznego </w:t>
                            </w:r>
                            <w:r w:rsidR="000519AB" w:rsidRPr="000519AB">
                              <w:t xml:space="preserve">gospodarstwa </w:t>
                            </w:r>
                            <w:r w:rsidR="000519AB">
                              <w:t>rolnego</w:t>
                            </w:r>
                            <w:r w:rsidR="000519AB" w:rsidRPr="000519AB">
                              <w:t xml:space="preserve"> wyniosła 27,5 ha i była najwyższa od 2000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52E9F" id="Pole tekstowe 32" o:spid="_x0000_s1036" type="#_x0000_t202" alt="W 2021 r. przeciętna wielkość ekologicznego gospodarstwa rolnego wyniosła 27,5 ha i była najwyższa od 2000 r." style="position:absolute;margin-left:411.1pt;margin-top:24.5pt;width:141.7pt;height:56.6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" filled="f" stroked="f">
                <v:textbox>
                  <w:txbxContent>
                    <w:p w14:paraId="1289717F" w14:textId="3FE78D4A" w:rsidR="004B23C2" w:rsidRPr="00BB2CE8" w:rsidRDefault="004B23C2" w:rsidP="004B23C2">
                      <w:pPr>
                        <w:pStyle w:val="tekstzboku"/>
                        <w:suppressAutoHyphens/>
                        <w:spacing w:before="0"/>
                      </w:pPr>
                      <w:r>
                        <w:t>W 202</w:t>
                      </w:r>
                      <w:r w:rsidR="000519AB">
                        <w:t>1</w:t>
                      </w:r>
                      <w:r>
                        <w:t xml:space="preserve"> r. </w:t>
                      </w:r>
                      <w:r w:rsidR="000519AB">
                        <w:t>p</w:t>
                      </w:r>
                      <w:r w:rsidR="000519AB" w:rsidRPr="000519AB">
                        <w:t xml:space="preserve">rzeciętna wielkość </w:t>
                      </w:r>
                      <w:r w:rsidR="000519AB">
                        <w:t xml:space="preserve">ekologicznego </w:t>
                      </w:r>
                      <w:r w:rsidR="000519AB" w:rsidRPr="000519AB">
                        <w:t xml:space="preserve">gospodarstwa </w:t>
                      </w:r>
                      <w:r w:rsidR="000519AB">
                        <w:t>rolnego</w:t>
                      </w:r>
                      <w:r w:rsidR="000519AB" w:rsidRPr="000519AB">
                        <w:t xml:space="preserve"> wyniosła 27,5 ha i była najwyższa od 2000 r.</w:t>
                      </w:r>
                    </w:p>
                  </w:txbxContent>
                </v:textbox>
              </v:shape>
            </w:pict>
          </mc:Fallback>
        </mc:AlternateContent>
      </w:r>
      <w:r w:rsidR="009D71F4" w:rsidRPr="009D71F4">
        <w:rPr>
          <w:rFonts w:eastAsia="Times New Roman" w:cs="Times New Roman"/>
          <w:b/>
          <w:bCs/>
          <w:noProof/>
          <w:color w:val="001D77"/>
          <w:lang w:eastAsia="pl-PL"/>
        </w:rPr>
        <w:t>Ekologiczne gospodarstwa rolne</w:t>
      </w:r>
    </w:p>
    <w:p w14:paraId="1E644C6D" w14:textId="5403B1AF" w:rsidR="009D71F4" w:rsidRPr="009D71F4" w:rsidRDefault="009D71F4" w:rsidP="009D71F4">
      <w:pPr>
        <w:pStyle w:val="tekstOP"/>
        <w:rPr>
          <w:iCs/>
        </w:rPr>
      </w:pPr>
      <w:r w:rsidRPr="009D71F4">
        <w:rPr>
          <w:iCs/>
        </w:rPr>
        <w:t>W 2021 r. w Polsce funkcjonowało 20,0 tys. gospodarstw ekologicznych. Zajmowały one obszar</w:t>
      </w:r>
      <w:r w:rsidR="00FD1CA8">
        <w:rPr>
          <w:iCs/>
        </w:rPr>
        <w:t> </w:t>
      </w:r>
      <w:r w:rsidRPr="009D71F4">
        <w:rPr>
          <w:iCs/>
        </w:rPr>
        <w:t>549,4 tys. ha użytków rolnych, tj. 3,7% użytków rolnych ogółem. W relacji do roku poprzedniego wzrosła zarówno ich liczba, jak i powierzc</w:t>
      </w:r>
      <w:r>
        <w:rPr>
          <w:iCs/>
        </w:rPr>
        <w:t>hnia, odpowiednio o 7,6% i 7,9%</w:t>
      </w:r>
      <w:r w:rsidRPr="009D71F4">
        <w:rPr>
          <w:iCs/>
        </w:rPr>
        <w:t>. Przeciętna wielkość gospodarstwa tego rodzaju wyniosła 27,5</w:t>
      </w:r>
      <w:r>
        <w:rPr>
          <w:iCs/>
        </w:rPr>
        <w:t xml:space="preserve"> ha i była najwyższa od 2000 r.</w:t>
      </w:r>
    </w:p>
    <w:p w14:paraId="1F324961" w14:textId="0BB56FDA" w:rsidR="004B23C2" w:rsidRDefault="009D71F4" w:rsidP="009D71F4">
      <w:pPr>
        <w:pStyle w:val="tekstOP"/>
        <w:rPr>
          <w:iCs/>
        </w:rPr>
      </w:pPr>
      <w:r w:rsidRPr="009D71F4">
        <w:rPr>
          <w:iCs/>
        </w:rPr>
        <w:lastRenderedPageBreak/>
        <w:t xml:space="preserve">Według danych Agencji Restrukturyzacji i Modernizacji Rolnictwa, w 2021 r. kwota płatności </w:t>
      </w:r>
      <w:r w:rsidR="000519AB">
        <w:rPr>
          <w:iCs/>
        </w:rPr>
        <w:t xml:space="preserve">z Programu Rozwoju Obszarów Wiejskich </w:t>
      </w:r>
      <w:r w:rsidR="000519AB" w:rsidRPr="000519AB">
        <w:rPr>
          <w:iCs/>
        </w:rPr>
        <w:t>(PROW 2007–2013 i PROW 2014–2020)</w:t>
      </w:r>
      <w:r w:rsidR="000519AB">
        <w:rPr>
          <w:iCs/>
        </w:rPr>
        <w:t xml:space="preserve"> </w:t>
      </w:r>
      <w:r w:rsidR="004B0B11">
        <w:rPr>
          <w:iCs/>
        </w:rPr>
        <w:t>skierowanych do</w:t>
      </w:r>
      <w:r w:rsidRPr="009D71F4">
        <w:rPr>
          <w:iCs/>
        </w:rPr>
        <w:t xml:space="preserve"> gospodarstw rolnych realizujących rolnictwo ekologiczne wyniosła 485,0 mln zł (według stanu na dzień 10 listopada 2022 r.) i była to najwyższa kwota dopłat dedykowana rolnictwu ekologicznemu w latach 2004–2021. W stosunku do roku poprzedniego zwiększyła się ona o</w:t>
      </w:r>
      <w:r w:rsidR="00FD1CA8">
        <w:rPr>
          <w:iCs/>
        </w:rPr>
        <w:t> </w:t>
      </w:r>
      <w:r w:rsidRPr="009D71F4">
        <w:rPr>
          <w:iCs/>
        </w:rPr>
        <w:t>39,3%, a</w:t>
      </w:r>
      <w:r w:rsidR="00FD1CA8">
        <w:rPr>
          <w:iCs/>
        </w:rPr>
        <w:t xml:space="preserve"> </w:t>
      </w:r>
      <w:r w:rsidRPr="009D71F4">
        <w:rPr>
          <w:iCs/>
        </w:rPr>
        <w:t>w</w:t>
      </w:r>
      <w:r w:rsidR="00FD1CA8">
        <w:rPr>
          <w:iCs/>
        </w:rPr>
        <w:t xml:space="preserve"> </w:t>
      </w:r>
      <w:r w:rsidRPr="009D71F4">
        <w:rPr>
          <w:iCs/>
        </w:rPr>
        <w:t xml:space="preserve">odniesieniu do 2004 r., kiedy zaczął funkcjonować PROW </w:t>
      </w:r>
      <w:r>
        <w:rPr>
          <w:iCs/>
        </w:rPr>
        <w:t>2004–2006 – ponad 13,5-krotnie.</w:t>
      </w:r>
    </w:p>
    <w:p w14:paraId="2CFC9C94" w14:textId="469574CB" w:rsidR="00C370C2" w:rsidRDefault="00C370C2" w:rsidP="00C370C2">
      <w:pPr>
        <w:spacing w:before="240" w:line="240" w:lineRule="auto"/>
        <w:rPr>
          <w:rFonts w:eastAsia="Times New Roman" w:cs="Times New Roman"/>
          <w:b/>
          <w:bCs/>
          <w:noProof/>
          <w:color w:val="001D77"/>
          <w:lang w:eastAsia="pl-PL"/>
        </w:rPr>
      </w:pPr>
      <w:r w:rsidRPr="00C370C2">
        <w:rPr>
          <w:rFonts w:eastAsia="Times New Roman" w:cs="Times New Roman"/>
          <w:b/>
          <w:bCs/>
          <w:noProof/>
          <w:color w:val="001D77"/>
          <w:lang w:eastAsia="pl-PL"/>
        </w:rPr>
        <w:t>Wynalazki i patenty z zakresu technologii ochrony środowiska</w:t>
      </w:r>
    </w:p>
    <w:p w14:paraId="41234C99" w14:textId="6FF519F1" w:rsidR="00C370C2" w:rsidRDefault="00A00672" w:rsidP="00C370C2">
      <w:pPr>
        <w:pStyle w:val="tekstOP"/>
        <w:rPr>
          <w:iCs/>
        </w:rPr>
      </w:pPr>
      <w:r w:rsidRPr="00CB4E51">
        <w:rPr>
          <w:rFonts w:ascii="Fira Sans SemiBold" w:eastAsia="Times New Roman" w:hAnsi="Fira Sans SemiBold" w:cs="Times New Roman"/>
          <w:bCs/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0CCCD82A" wp14:editId="06751F02">
                <wp:simplePos x="0" y="0"/>
                <wp:positionH relativeFrom="column">
                  <wp:posOffset>5220970</wp:posOffset>
                </wp:positionH>
                <wp:positionV relativeFrom="paragraph">
                  <wp:posOffset>1069005</wp:posOffset>
                </wp:positionV>
                <wp:extent cx="1763395" cy="1187450"/>
                <wp:effectExtent l="0" t="0" r="8255" b="0"/>
                <wp:wrapTight wrapText="bothSides">
                  <wp:wrapPolygon edited="0">
                    <wp:start x="700" y="0"/>
                    <wp:lineTo x="700" y="21138"/>
                    <wp:lineTo x="21468" y="21138"/>
                    <wp:lineTo x="21468" y="0"/>
                    <wp:lineTo x="700" y="0"/>
                  </wp:wrapPolygon>
                </wp:wrapTight>
                <wp:docPr id="205" name="Pole tekstowe 205" descr="W 2021 r. odnotowano największą od 2000 r. liczbę patentów z zakresu technologii ochrony środowiska udzielonych przez Urząd Patentowy R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F71C4" w14:textId="2FAEB9FA" w:rsidR="00C370C2" w:rsidRPr="00D616D2" w:rsidRDefault="00C370C2" w:rsidP="005F4D6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2021 r. odnotowano największą od 2000 r. liczbę </w:t>
                            </w:r>
                            <w:r w:rsidRPr="00F4256D">
                              <w:rPr>
                                <w:szCs w:val="19"/>
                              </w:rPr>
                              <w:t>patent</w:t>
                            </w:r>
                            <w:r>
                              <w:rPr>
                                <w:szCs w:val="19"/>
                              </w:rPr>
                              <w:t>ów</w:t>
                            </w:r>
                            <w:r w:rsidRPr="00F4256D">
                              <w:rPr>
                                <w:szCs w:val="19"/>
                              </w:rPr>
                              <w:t xml:space="preserve"> z zakr</w:t>
                            </w:r>
                            <w:r>
                              <w:rPr>
                                <w:szCs w:val="19"/>
                              </w:rPr>
                              <w:t>esu technologii ochrony środowi</w:t>
                            </w:r>
                            <w:r w:rsidRPr="00F4256D">
                              <w:rPr>
                                <w:szCs w:val="19"/>
                              </w:rPr>
                              <w:t xml:space="preserve">ska </w:t>
                            </w:r>
                            <w:r>
                              <w:rPr>
                                <w:szCs w:val="19"/>
                              </w:rPr>
                              <w:t xml:space="preserve">udzielonych przez Urząd </w:t>
                            </w:r>
                            <w:r w:rsidR="005C7093">
                              <w:rPr>
                                <w:szCs w:val="19"/>
                              </w:rPr>
                              <w:t>P</w:t>
                            </w:r>
                            <w:r>
                              <w:rPr>
                                <w:szCs w:val="19"/>
                              </w:rPr>
                              <w:t>atentowy RP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D82A" id="Pole tekstowe 205" o:spid="_x0000_s1037" type="#_x0000_t202" alt="W 2021 r. odnotowano największą od 2000 r. liczbę patentów z zakresu technologii ochrony środowiska udzielonych przez Urząd Patentowy RP" style="position:absolute;margin-left:411.1pt;margin-top:84.15pt;width:138.85pt;height:93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" filled="f" stroked="f">
                <v:textbox inset="2.5mm,1mm,1mm,1mm">
                  <w:txbxContent>
                    <w:p w14:paraId="170F71C4" w14:textId="2FAEB9FA" w:rsidR="00C370C2" w:rsidRPr="00D616D2" w:rsidRDefault="00C370C2" w:rsidP="005F4D6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2021 r. odnotowano największą od 2000 r. liczbę </w:t>
                      </w:r>
                      <w:r w:rsidRPr="00F4256D">
                        <w:rPr>
                          <w:szCs w:val="19"/>
                        </w:rPr>
                        <w:t>patent</w:t>
                      </w:r>
                      <w:r>
                        <w:rPr>
                          <w:szCs w:val="19"/>
                        </w:rPr>
                        <w:t>ów</w:t>
                      </w:r>
                      <w:r w:rsidRPr="00F4256D">
                        <w:rPr>
                          <w:szCs w:val="19"/>
                        </w:rPr>
                        <w:t xml:space="preserve"> z zakr</w:t>
                      </w:r>
                      <w:r>
                        <w:rPr>
                          <w:szCs w:val="19"/>
                        </w:rPr>
                        <w:t>esu technologii ochrony środowi</w:t>
                      </w:r>
                      <w:r w:rsidRPr="00F4256D">
                        <w:rPr>
                          <w:szCs w:val="19"/>
                        </w:rPr>
                        <w:t xml:space="preserve">ska </w:t>
                      </w:r>
                      <w:r>
                        <w:rPr>
                          <w:szCs w:val="19"/>
                        </w:rPr>
                        <w:t xml:space="preserve">udzielonych przez Urząd </w:t>
                      </w:r>
                      <w:r w:rsidR="005C7093">
                        <w:rPr>
                          <w:szCs w:val="19"/>
                        </w:rPr>
                        <w:t>P</w:t>
                      </w:r>
                      <w:r>
                        <w:rPr>
                          <w:szCs w:val="19"/>
                        </w:rPr>
                        <w:t>atentowy RP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370C2" w:rsidRPr="00C370C2">
        <w:rPr>
          <w:iCs/>
        </w:rPr>
        <w:t>W 2021 r. całkowita liczba zgłoszeń patentowych z zakresu technologii ochrony środowiska do</w:t>
      </w:r>
      <w:r w:rsidR="00FD1CA8">
        <w:rPr>
          <w:iCs/>
        </w:rPr>
        <w:t> </w:t>
      </w:r>
      <w:r w:rsidR="00C370C2" w:rsidRPr="00C370C2">
        <w:rPr>
          <w:iCs/>
        </w:rPr>
        <w:t>Urzędu Patentowego RP wyniosła 147, co stanowiło 4,2% ogółu zgłoszonych wynalazków. Oznacza to spadek w stosunku do roku poprzedniego i 2000, odpowiednio o 15,5% i 36,1%. W</w:t>
      </w:r>
      <w:r w:rsidR="00C370C2">
        <w:rPr>
          <w:iCs/>
        </w:rPr>
        <w:t> </w:t>
      </w:r>
      <w:r w:rsidR="00C370C2" w:rsidRPr="00C370C2">
        <w:rPr>
          <w:iCs/>
        </w:rPr>
        <w:t xml:space="preserve">latach 2000–2021 największą liczbę </w:t>
      </w:r>
      <w:r w:rsidR="00F02348">
        <w:rPr>
          <w:iCs/>
        </w:rPr>
        <w:t>zgłoszeń patentowych</w:t>
      </w:r>
      <w:r w:rsidR="00C370C2" w:rsidRPr="00C370C2">
        <w:rPr>
          <w:iCs/>
        </w:rPr>
        <w:t xml:space="preserve"> tego typu odnotowano w</w:t>
      </w:r>
      <w:r w:rsidR="00F6287D">
        <w:rPr>
          <w:iCs/>
        </w:rPr>
        <w:t> </w:t>
      </w:r>
      <w:r w:rsidR="00C370C2" w:rsidRPr="00C370C2">
        <w:rPr>
          <w:iCs/>
        </w:rPr>
        <w:t>2012</w:t>
      </w:r>
      <w:r w:rsidR="00F6287D">
        <w:rPr>
          <w:iCs/>
        </w:rPr>
        <w:t> </w:t>
      </w:r>
      <w:r w:rsidR="00C370C2" w:rsidRPr="00C370C2">
        <w:rPr>
          <w:iCs/>
        </w:rPr>
        <w:t>r. – 2</w:t>
      </w:r>
      <w:r w:rsidR="00C370C2">
        <w:rPr>
          <w:iCs/>
        </w:rPr>
        <w:t xml:space="preserve">64 (5,7% ogółu </w:t>
      </w:r>
      <w:r w:rsidR="00F02348">
        <w:rPr>
          <w:iCs/>
        </w:rPr>
        <w:t>zgłoszonych wynalazków), przy czym z</w:t>
      </w:r>
      <w:r w:rsidR="00C370C2" w:rsidRPr="00C370C2">
        <w:rPr>
          <w:iCs/>
        </w:rPr>
        <w:t>decydowana większość została zgłoszona przez podmioty krajowe – 253.</w:t>
      </w:r>
    </w:p>
    <w:p w14:paraId="4B27A2CD" w14:textId="6763261F" w:rsidR="00C370C2" w:rsidRDefault="00C370C2" w:rsidP="00C370C2">
      <w:pPr>
        <w:pStyle w:val="tekstOP"/>
        <w:rPr>
          <w:iCs/>
        </w:rPr>
      </w:pPr>
      <w:r w:rsidRPr="00C370C2">
        <w:rPr>
          <w:iCs/>
        </w:rPr>
        <w:t>Urząd Patentowy RP w 2021 r. udzielił 178 patentów z zakresu technologii ochrony środowiska, w tym 172 podmiotom krajowym. Była to największa liczba patentów tego rodzaju od 2000 r. W odniesieniu do roku poprzedniego i 2000 ich liczba zwiększyła się o 20,3% i</w:t>
      </w:r>
      <w:r w:rsidR="00FD1CA8">
        <w:rPr>
          <w:iCs/>
        </w:rPr>
        <w:t> </w:t>
      </w:r>
      <w:r w:rsidRPr="00C370C2">
        <w:rPr>
          <w:iCs/>
        </w:rPr>
        <w:t>87,4%. Ich udział w ogólnej liczbie patentów ukształtował się na poziomie 5,4%.</w:t>
      </w:r>
    </w:p>
    <w:p w14:paraId="6D7808B4" w14:textId="77777777" w:rsidR="007858C8" w:rsidRPr="0026524D" w:rsidRDefault="007858C8" w:rsidP="00A00672">
      <w:pPr>
        <w:spacing w:before="8760"/>
        <w:rPr>
          <w:szCs w:val="19"/>
        </w:rPr>
        <w:sectPr w:rsidR="007858C8" w:rsidRPr="0026524D" w:rsidSect="00DD720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DD7203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DD720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DD7203">
            <w:pPr>
              <w:rPr>
                <w:sz w:val="18"/>
              </w:rPr>
            </w:pPr>
          </w:p>
        </w:tc>
      </w:tr>
      <w:tr w:rsidR="0017380F" w14:paraId="4DAFEBF4" w14:textId="77777777" w:rsidTr="00DD7203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77777777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r w:rsidRPr="00945F28">
              <w:rPr>
                <w:sz w:val="20"/>
              </w:rPr>
              <w:t xml:space="preserve">22 608 34 91, 22 608 38 04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6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43EF262E" w:rsidR="0017380F" w:rsidRDefault="00DE0EA7" w:rsidP="00DD7203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669C3B6C" wp14:editId="60398A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03466">
                <w:t>www.stat.gov.pl</w:t>
              </w:r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DD7203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DD720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28D65314" w:rsidR="0017380F" w:rsidRDefault="0017380F" w:rsidP="00DD7203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5CB65A1F" wp14:editId="1A843E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twitter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DE0EA7" w:rsidRPr="00103466"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DD7203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DD720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3F9F0BFC" w:rsidR="003C0826" w:rsidRDefault="00FF0659" w:rsidP="00DD7203">
            <w:pPr>
              <w:ind w:firstLine="680"/>
              <w:rPr>
                <w:noProof/>
                <w:sz w:val="20"/>
                <w:lang w:eastAsia="pl-PL"/>
              </w:rPr>
            </w:pPr>
            <w:hyperlink r:id="rId21" w:history="1">
              <w:r w:rsidR="003C0826" w:rsidRPr="00103466">
                <w:rPr>
                  <w:sz w:val="20"/>
                  <w:lang w:val="en-GB"/>
                </w:rPr>
                <w:t>@GlownyUrzadStatystyczny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1C48F415" wp14:editId="5E54011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DD7203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16A4EE64" w:rsidR="003C0826" w:rsidRDefault="00FF0659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3" w:history="1">
              <w:proofErr w:type="spellStart"/>
              <w:r w:rsidR="003C0826" w:rsidRPr="00103466">
                <w:rPr>
                  <w:lang w:val="en-GB"/>
                </w:rPr>
                <w:t>gus_stat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1A2EBBB9" wp14:editId="57BB079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DD7203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582CE44E" w:rsidR="003C0826" w:rsidRDefault="00FF0659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proofErr w:type="spellStart"/>
              <w:r w:rsidR="003C0826" w:rsidRPr="00103466">
                <w:rPr>
                  <w:lang w:val="en-GB"/>
                </w:rPr>
                <w:t>glownyurzadstatystycznygus</w:t>
              </w:r>
              <w:proofErr w:type="spellEnd"/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76864DA5" wp14:editId="3D1F91E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3E07689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6ADFC78B" wp14:editId="7F2C7D5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11464D48" wp14:editId="68D2590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5B21412F" wp14:editId="68AF9373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proofErr w:type="spellStart"/>
              <w:r w:rsidRPr="00103466">
                <w:rPr>
                  <w:lang w:val="en-GB"/>
                </w:rPr>
                <w:t>g</w:t>
              </w:r>
            </w:hyperlink>
            <w:hyperlink r:id="rId29" w:history="1">
              <w:r w:rsidRPr="00103466">
                <w:rPr>
                  <w:lang w:val="en-GB"/>
                </w:rPr>
                <w:t>lownyurzadstatystyczny</w:t>
              </w:r>
              <w:proofErr w:type="spellEnd"/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5F38BB5B" w:rsidR="00407F39" w:rsidRPr="00574DD0" w:rsidRDefault="005C7093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 w:rsidR="003B666C">
              <w:rPr>
                <w:rStyle w:val="Hipercze"/>
                <w:rFonts w:cstheme="minorBidi"/>
                <w:color w:val="002060"/>
                <w:sz w:val="18"/>
              </w:rPr>
              <w:instrText>HYPERLINK "https://stat.gov.pl/obszary-tematyczne/srodowisko-energia/srodowisko/wskazniki-zielonej-gospodarki-w-polsce-2020,5,4.html" \o "Link do opracowania pt. Wskaźniki zielonej gospodarki w Polsce 2020"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Pr="00574DD0">
              <w:rPr>
                <w:rStyle w:val="Hipercze"/>
                <w:rFonts w:cstheme="minorBidi"/>
                <w:color w:val="002060"/>
                <w:sz w:val="18"/>
              </w:rPr>
              <w:t>Wskaźniki zielonej gospodarki w Polsce 2020</w:t>
            </w:r>
          </w:p>
          <w:p w14:paraId="305E1D8A" w14:textId="0F768560" w:rsidR="00407F39" w:rsidRPr="005373F0" w:rsidRDefault="005C7093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2D58A1F7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="003B666C">
              <w:rPr>
                <w:rStyle w:val="Hipercze"/>
                <w:rFonts w:cstheme="minorBidi"/>
                <w:color w:val="002060"/>
              </w:rPr>
              <w:instrText>HYPERLINK "https://bdl.stat.gov.pl/bdl/dane/podgrup/temat" \o "Link do danych w bazie: Bank Danych Lokalnych "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5C7093">
              <w:rPr>
                <w:rStyle w:val="Hipercze"/>
                <w:rFonts w:cstheme="minorBidi"/>
                <w:color w:val="002060"/>
                <w:sz w:val="18"/>
              </w:rPr>
              <w:t>Bank Danych Lokalnych</w:t>
            </w:r>
          </w:p>
          <w:p w14:paraId="19C1DC2D" w14:textId="3663D856" w:rsidR="002B5370" w:rsidRPr="00876479" w:rsidRDefault="00800FA1" w:rsidP="005C7093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0" w:tooltip="Link do danych w Bazie danych Eurostatu " w:history="1">
              <w:r w:rsidR="0087455C" w:rsidRPr="003C10DE">
                <w:rPr>
                  <w:rStyle w:val="Hipercze"/>
                  <w:rFonts w:cstheme="minorBidi"/>
                  <w:color w:val="002060"/>
                  <w:sz w:val="18"/>
                </w:rPr>
                <w:t>Baza danych Eurostatu</w:t>
              </w:r>
            </w:hyperlink>
          </w:p>
        </w:tc>
      </w:tr>
    </w:tbl>
    <w:p w14:paraId="5F87F1F3" w14:textId="58946418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B0977" w14:textId="77777777" w:rsidR="009E6632" w:rsidRDefault="009E6632" w:rsidP="000662E2">
      <w:pPr>
        <w:spacing w:after="0" w:line="240" w:lineRule="auto"/>
      </w:pPr>
      <w:r>
        <w:separator/>
      </w:r>
    </w:p>
  </w:endnote>
  <w:endnote w:type="continuationSeparator" w:id="0">
    <w:p w14:paraId="4D926243" w14:textId="77777777" w:rsidR="009E6632" w:rsidRDefault="009E66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35DC917-5714-434E-9DDB-1B62D9089908}"/>
    <w:embedBold r:id="rId2" w:fontKey="{A692CA48-5F9C-4D72-BD15-8F4BA356327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E296722-294F-4707-8EE2-674DAE6C7152}"/>
    <w:embedBold r:id="rId4" w:fontKey="{32D19BC4-431B-4960-8382-D42CA3AB57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D7160C9-B67B-47CA-BF17-68EB13E7A8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9EACFC6-0A4D-4C1B-8FDF-10C0A56629A6}"/>
    <w:embedItalic r:id="rId7" w:fontKey="{D8E0558C-33CD-4C78-B40F-25A4562ACE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43B028A-B90A-4027-B0ED-AD77A912BC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B633415-B90C-43FC-BACC-4B402D8F10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25EC82A-34AB-4CAA-86F0-7750E9085B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DD7203" w:rsidRDefault="00DD7203" w:rsidP="00DD72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4F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DD7203" w:rsidRDefault="00DD7203" w:rsidP="00DD72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4F6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C2A5" w14:textId="77777777" w:rsidR="009E6632" w:rsidRDefault="009E6632" w:rsidP="000662E2">
      <w:pPr>
        <w:spacing w:after="0" w:line="240" w:lineRule="auto"/>
      </w:pPr>
      <w:r>
        <w:separator/>
      </w:r>
    </w:p>
  </w:footnote>
  <w:footnote w:type="continuationSeparator" w:id="0">
    <w:p w14:paraId="2CAC2935" w14:textId="77777777" w:rsidR="009E6632" w:rsidRDefault="009E66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EF44" w14:textId="77777777" w:rsidR="00DD7203" w:rsidRDefault="00DD72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DD7203" w:rsidRDefault="00DD72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D8DF" w14:textId="77777777" w:rsidR="00DD7203" w:rsidRDefault="00DD7203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DD7203" w:rsidRPr="003C6C8D" w:rsidRDefault="00DD720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8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DD7203" w:rsidRPr="003C6C8D" w:rsidRDefault="00DD720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DD7203" w:rsidRDefault="00DD7203">
    <w:pPr>
      <w:pStyle w:val="Nagwek"/>
      <w:rPr>
        <w:noProof/>
        <w:lang w:eastAsia="pl-PL"/>
      </w:rPr>
    </w:pPr>
  </w:p>
  <w:p w14:paraId="52FB0F64" w14:textId="77777777" w:rsidR="00DD7203" w:rsidRDefault="00DD7203">
    <w:pPr>
      <w:pStyle w:val="Nagwek"/>
      <w:rPr>
        <w:noProof/>
        <w:lang w:eastAsia="pl-PL"/>
      </w:rPr>
    </w:pPr>
  </w:p>
  <w:p w14:paraId="048A4281" w14:textId="77777777" w:rsidR="00DD7203" w:rsidRDefault="00DD720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5EB33D5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01.1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780713A9" w:rsidR="00DD7203" w:rsidRPr="00C97596" w:rsidRDefault="00DD72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01.12.2022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01.12.2022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C6gbpi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780713A9" w:rsidR="00DD7203" w:rsidRPr="00C97596" w:rsidRDefault="00DD720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01.12.2022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DD7203" w:rsidRDefault="00DD7203">
    <w:pPr>
      <w:pStyle w:val="Nagwek"/>
    </w:pPr>
  </w:p>
  <w:p w14:paraId="5F87F20F" w14:textId="77777777" w:rsidR="00DD7203" w:rsidRDefault="00DD72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10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431"/>
    <w:rsid w:val="00027866"/>
    <w:rsid w:val="00034964"/>
    <w:rsid w:val="000374E0"/>
    <w:rsid w:val="000450E1"/>
    <w:rsid w:val="0004582E"/>
    <w:rsid w:val="00046161"/>
    <w:rsid w:val="000470AA"/>
    <w:rsid w:val="0004768B"/>
    <w:rsid w:val="000519AB"/>
    <w:rsid w:val="000556FF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5CED"/>
    <w:rsid w:val="00076C95"/>
    <w:rsid w:val="000806F7"/>
    <w:rsid w:val="000834B7"/>
    <w:rsid w:val="00083C27"/>
    <w:rsid w:val="0008639A"/>
    <w:rsid w:val="00086E25"/>
    <w:rsid w:val="00086F6F"/>
    <w:rsid w:val="000871E2"/>
    <w:rsid w:val="00090BCB"/>
    <w:rsid w:val="00090D9D"/>
    <w:rsid w:val="0009255B"/>
    <w:rsid w:val="00095C38"/>
    <w:rsid w:val="0009669F"/>
    <w:rsid w:val="00096EBF"/>
    <w:rsid w:val="000A4D00"/>
    <w:rsid w:val="000B0727"/>
    <w:rsid w:val="000B12F4"/>
    <w:rsid w:val="000B3D9B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547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4DB9"/>
    <w:rsid w:val="00116087"/>
    <w:rsid w:val="001200F3"/>
    <w:rsid w:val="001207E8"/>
    <w:rsid w:val="00120EAE"/>
    <w:rsid w:val="00125DD2"/>
    <w:rsid w:val="0012703C"/>
    <w:rsid w:val="00127A40"/>
    <w:rsid w:val="00130296"/>
    <w:rsid w:val="001327A7"/>
    <w:rsid w:val="00133036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965F6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294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361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5370"/>
    <w:rsid w:val="002B6B12"/>
    <w:rsid w:val="002C12A0"/>
    <w:rsid w:val="002C4304"/>
    <w:rsid w:val="002D1775"/>
    <w:rsid w:val="002D1902"/>
    <w:rsid w:val="002D2376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562"/>
    <w:rsid w:val="00334AE0"/>
    <w:rsid w:val="003352BC"/>
    <w:rsid w:val="00337C9B"/>
    <w:rsid w:val="003416DF"/>
    <w:rsid w:val="00342B33"/>
    <w:rsid w:val="0034377D"/>
    <w:rsid w:val="00346099"/>
    <w:rsid w:val="00347D72"/>
    <w:rsid w:val="00351DDF"/>
    <w:rsid w:val="00353C5E"/>
    <w:rsid w:val="003555B8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666C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22F7"/>
    <w:rsid w:val="003E28E5"/>
    <w:rsid w:val="003E38B0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0B11"/>
    <w:rsid w:val="004B17D2"/>
    <w:rsid w:val="004B23C2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203F1"/>
    <w:rsid w:val="00520C30"/>
    <w:rsid w:val="00521BC3"/>
    <w:rsid w:val="00525C46"/>
    <w:rsid w:val="00531FBF"/>
    <w:rsid w:val="00532318"/>
    <w:rsid w:val="00533632"/>
    <w:rsid w:val="00536EDC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44CE"/>
    <w:rsid w:val="00574DD0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C7093"/>
    <w:rsid w:val="005D6206"/>
    <w:rsid w:val="005E0799"/>
    <w:rsid w:val="005E6138"/>
    <w:rsid w:val="005F08F4"/>
    <w:rsid w:val="005F3B8F"/>
    <w:rsid w:val="005F4D6A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812AF"/>
    <w:rsid w:val="0068327D"/>
    <w:rsid w:val="006918D7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3628"/>
    <w:rsid w:val="006B416B"/>
    <w:rsid w:val="006B5AE4"/>
    <w:rsid w:val="006B6036"/>
    <w:rsid w:val="006B6982"/>
    <w:rsid w:val="006C204A"/>
    <w:rsid w:val="006C23DD"/>
    <w:rsid w:val="006C2C52"/>
    <w:rsid w:val="006C5F3C"/>
    <w:rsid w:val="006C6B14"/>
    <w:rsid w:val="006C6ECB"/>
    <w:rsid w:val="006D2FE7"/>
    <w:rsid w:val="006D4054"/>
    <w:rsid w:val="006D40E7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FC6"/>
    <w:rsid w:val="0070222D"/>
    <w:rsid w:val="00705ADA"/>
    <w:rsid w:val="00712600"/>
    <w:rsid w:val="00713E2E"/>
    <w:rsid w:val="007143ED"/>
    <w:rsid w:val="0072118F"/>
    <w:rsid w:val="007211B1"/>
    <w:rsid w:val="00721D1A"/>
    <w:rsid w:val="00723A53"/>
    <w:rsid w:val="0072565D"/>
    <w:rsid w:val="00731651"/>
    <w:rsid w:val="00731A62"/>
    <w:rsid w:val="007324B9"/>
    <w:rsid w:val="007333B6"/>
    <w:rsid w:val="00736F7F"/>
    <w:rsid w:val="00741239"/>
    <w:rsid w:val="00741561"/>
    <w:rsid w:val="007415D2"/>
    <w:rsid w:val="00742D69"/>
    <w:rsid w:val="00743484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2A27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1F23"/>
    <w:rsid w:val="007C2350"/>
    <w:rsid w:val="007C301F"/>
    <w:rsid w:val="007C48C0"/>
    <w:rsid w:val="007C5700"/>
    <w:rsid w:val="007C6BE7"/>
    <w:rsid w:val="007C6FFB"/>
    <w:rsid w:val="007D23D4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2BA3"/>
    <w:rsid w:val="007F324B"/>
    <w:rsid w:val="007F335F"/>
    <w:rsid w:val="007F43D8"/>
    <w:rsid w:val="007F768F"/>
    <w:rsid w:val="00800FA1"/>
    <w:rsid w:val="0080284C"/>
    <w:rsid w:val="00803299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0E5E"/>
    <w:rsid w:val="00822AED"/>
    <w:rsid w:val="00822B9D"/>
    <w:rsid w:val="00824090"/>
    <w:rsid w:val="00825DC2"/>
    <w:rsid w:val="0082664F"/>
    <w:rsid w:val="0083016B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1525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D4548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37940"/>
    <w:rsid w:val="009418BD"/>
    <w:rsid w:val="0095001E"/>
    <w:rsid w:val="00950C3A"/>
    <w:rsid w:val="009517B1"/>
    <w:rsid w:val="009530DB"/>
    <w:rsid w:val="00953676"/>
    <w:rsid w:val="00956F4E"/>
    <w:rsid w:val="00957734"/>
    <w:rsid w:val="00966548"/>
    <w:rsid w:val="009705EE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5235"/>
    <w:rsid w:val="0099703E"/>
    <w:rsid w:val="009A1927"/>
    <w:rsid w:val="009A1EC6"/>
    <w:rsid w:val="009A24DB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1F4"/>
    <w:rsid w:val="009D7428"/>
    <w:rsid w:val="009E0888"/>
    <w:rsid w:val="009E2E91"/>
    <w:rsid w:val="009E3EFB"/>
    <w:rsid w:val="009E4532"/>
    <w:rsid w:val="009E6632"/>
    <w:rsid w:val="009F2F30"/>
    <w:rsid w:val="009F52D9"/>
    <w:rsid w:val="009F633A"/>
    <w:rsid w:val="00A00672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1503E"/>
    <w:rsid w:val="00A2021C"/>
    <w:rsid w:val="00A205A1"/>
    <w:rsid w:val="00A24C47"/>
    <w:rsid w:val="00A2578C"/>
    <w:rsid w:val="00A355CF"/>
    <w:rsid w:val="00A365F4"/>
    <w:rsid w:val="00A418B0"/>
    <w:rsid w:val="00A4229F"/>
    <w:rsid w:val="00A42664"/>
    <w:rsid w:val="00A4344B"/>
    <w:rsid w:val="00A452A4"/>
    <w:rsid w:val="00A45776"/>
    <w:rsid w:val="00A4621E"/>
    <w:rsid w:val="00A47D80"/>
    <w:rsid w:val="00A51821"/>
    <w:rsid w:val="00A5240A"/>
    <w:rsid w:val="00A52493"/>
    <w:rsid w:val="00A53132"/>
    <w:rsid w:val="00A53F4B"/>
    <w:rsid w:val="00A54254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3520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2D4B"/>
    <w:rsid w:val="00AE31CD"/>
    <w:rsid w:val="00AE4F99"/>
    <w:rsid w:val="00AE7286"/>
    <w:rsid w:val="00AF5463"/>
    <w:rsid w:val="00B05A8F"/>
    <w:rsid w:val="00B13F95"/>
    <w:rsid w:val="00B14952"/>
    <w:rsid w:val="00B17D10"/>
    <w:rsid w:val="00B20919"/>
    <w:rsid w:val="00B213BA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6B1C"/>
    <w:rsid w:val="00B4000D"/>
    <w:rsid w:val="00B4134A"/>
    <w:rsid w:val="00B41A15"/>
    <w:rsid w:val="00B4408F"/>
    <w:rsid w:val="00B46439"/>
    <w:rsid w:val="00B46C7F"/>
    <w:rsid w:val="00B475F1"/>
    <w:rsid w:val="00B56465"/>
    <w:rsid w:val="00B56868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80BFA"/>
    <w:rsid w:val="00B87195"/>
    <w:rsid w:val="00B90B52"/>
    <w:rsid w:val="00B914E9"/>
    <w:rsid w:val="00B94ADF"/>
    <w:rsid w:val="00B956EE"/>
    <w:rsid w:val="00B95F63"/>
    <w:rsid w:val="00B96D68"/>
    <w:rsid w:val="00BA2879"/>
    <w:rsid w:val="00BA2BA1"/>
    <w:rsid w:val="00BA4DEF"/>
    <w:rsid w:val="00BA6502"/>
    <w:rsid w:val="00BA6729"/>
    <w:rsid w:val="00BA708B"/>
    <w:rsid w:val="00BB0784"/>
    <w:rsid w:val="00BB0C91"/>
    <w:rsid w:val="00BB1A40"/>
    <w:rsid w:val="00BB2CE8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D202B"/>
    <w:rsid w:val="00BD22E0"/>
    <w:rsid w:val="00BD361A"/>
    <w:rsid w:val="00BD3808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0512"/>
    <w:rsid w:val="00C01707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339D"/>
    <w:rsid w:val="00C35A58"/>
    <w:rsid w:val="00C35AA5"/>
    <w:rsid w:val="00C3702F"/>
    <w:rsid w:val="00C370C2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31CC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3196"/>
    <w:rsid w:val="00D0432D"/>
    <w:rsid w:val="00D0573C"/>
    <w:rsid w:val="00D0656E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47A2C"/>
    <w:rsid w:val="00D51C93"/>
    <w:rsid w:val="00D54C73"/>
    <w:rsid w:val="00D6131B"/>
    <w:rsid w:val="00D61372"/>
    <w:rsid w:val="00D616D2"/>
    <w:rsid w:val="00D63B5F"/>
    <w:rsid w:val="00D64839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353"/>
    <w:rsid w:val="00DA7C1C"/>
    <w:rsid w:val="00DB011E"/>
    <w:rsid w:val="00DB147A"/>
    <w:rsid w:val="00DB1B7A"/>
    <w:rsid w:val="00DB2C26"/>
    <w:rsid w:val="00DB3EDB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D7203"/>
    <w:rsid w:val="00DE0EA7"/>
    <w:rsid w:val="00DE5D6D"/>
    <w:rsid w:val="00DF080B"/>
    <w:rsid w:val="00DF0D0C"/>
    <w:rsid w:val="00DF6B67"/>
    <w:rsid w:val="00DF74F6"/>
    <w:rsid w:val="00E01436"/>
    <w:rsid w:val="00E0404C"/>
    <w:rsid w:val="00E045BD"/>
    <w:rsid w:val="00E07157"/>
    <w:rsid w:val="00E1044E"/>
    <w:rsid w:val="00E13024"/>
    <w:rsid w:val="00E14913"/>
    <w:rsid w:val="00E14A08"/>
    <w:rsid w:val="00E15040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27BB3"/>
    <w:rsid w:val="00E313E1"/>
    <w:rsid w:val="00E32061"/>
    <w:rsid w:val="00E32E99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1BB2"/>
    <w:rsid w:val="00E977F5"/>
    <w:rsid w:val="00EA027A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068F"/>
    <w:rsid w:val="00EE3E2D"/>
    <w:rsid w:val="00EE41D5"/>
    <w:rsid w:val="00EE6EB4"/>
    <w:rsid w:val="00EE73B7"/>
    <w:rsid w:val="00EF5879"/>
    <w:rsid w:val="00EF6EB6"/>
    <w:rsid w:val="00EF7245"/>
    <w:rsid w:val="00EF7943"/>
    <w:rsid w:val="00F02348"/>
    <w:rsid w:val="00F037A4"/>
    <w:rsid w:val="00F04596"/>
    <w:rsid w:val="00F0690A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2EC7"/>
    <w:rsid w:val="00F43563"/>
    <w:rsid w:val="00F43C2A"/>
    <w:rsid w:val="00F44007"/>
    <w:rsid w:val="00F4477E"/>
    <w:rsid w:val="00F44EFE"/>
    <w:rsid w:val="00F45C62"/>
    <w:rsid w:val="00F4796B"/>
    <w:rsid w:val="00F52EC2"/>
    <w:rsid w:val="00F6287D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5688"/>
    <w:rsid w:val="00F86024"/>
    <w:rsid w:val="00F8611A"/>
    <w:rsid w:val="00F90A5B"/>
    <w:rsid w:val="00F92085"/>
    <w:rsid w:val="00F966CA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13C5"/>
    <w:rsid w:val="00FD1CA8"/>
    <w:rsid w:val="00FD5EA7"/>
    <w:rsid w:val="00FD6003"/>
    <w:rsid w:val="00FE14DF"/>
    <w:rsid w:val="00FE2200"/>
    <w:rsid w:val="00FE6309"/>
    <w:rsid w:val="00FF065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stat.gov.pl/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www.youtube.com/channel/UC0wiQMElFgYszpAoYgTnXtg/featured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twitter.com/GUS_STAT" TargetMode="External"/><Relationship Id="rId29" Type="http://schemas.openxmlformats.org/officeDocument/2006/relationships/hyperlink" Target="https://www.linkedin.com/uas/login?session_redirect=%2Fcompany%2F5329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linkedin.com/uas/login?session_redirect=%2Fcompany%2F532930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ec.europa.eu/eurostat/web/main/data/database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Zielona%20Gospodarka\Zielona%20gospodarka\Publikacje\2022%20Raport%20dla%20odbiorcy%20zewn&#281;trznego\Wersja%20robocza\AR\Informacja%20sygnalna\Wykresy\Informacja%20sygnalna%20-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Zielona%20Gospodarka\Zielona%20gospodarka\Publikacje\2022%20Raport%20dla%20odbiorcy%20zewn&#281;trznego\Wersja%20robocza\AR\Informacja%20sygnalna\Wykresy\Informacja%20sygnalna%20-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330555555555557E-2"/>
          <c:y val="5.33669503099065E-2"/>
          <c:w val="0.93137222222222205"/>
          <c:h val="0.735667086878873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Arkusz1!$B$5:$W$5</c:f>
              <c:numCache>
                <c:formatCode>General</c:formatCode>
                <c:ptCount val="2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</c:numCache>
            </c:numRef>
          </c:cat>
          <c:val>
            <c:numRef>
              <c:f>Arkusz1!$B$6:$W$6</c:f>
              <c:numCache>
                <c:formatCode>0.00</c:formatCode>
                <c:ptCount val="22"/>
                <c:pt idx="0">
                  <c:v>67.757593104881579</c:v>
                </c:pt>
                <c:pt idx="1">
                  <c:v>74.987909125620405</c:v>
                </c:pt>
                <c:pt idx="2">
                  <c:v>77.765302509268665</c:v>
                </c:pt>
                <c:pt idx="3">
                  <c:v>80.077796429564174</c:v>
                </c:pt>
                <c:pt idx="4">
                  <c:v>85.175671782307774</c:v>
                </c:pt>
                <c:pt idx="5">
                  <c:v>93.02766908856421</c:v>
                </c:pt>
                <c:pt idx="6">
                  <c:v>93.413962060492906</c:v>
                </c:pt>
                <c:pt idx="7">
                  <c:v>105.38926730486008</c:v>
                </c:pt>
                <c:pt idx="8">
                  <c:v>120.91321236745156</c:v>
                </c:pt>
                <c:pt idx="9">
                  <c:v>128.22991749013701</c:v>
                </c:pt>
                <c:pt idx="10">
                  <c:v>136.36686752331178</c:v>
                </c:pt>
                <c:pt idx="11">
                  <c:v>141.08759322961291</c:v>
                </c:pt>
                <c:pt idx="12">
                  <c:v>152.43679705751825</c:v>
                </c:pt>
                <c:pt idx="13">
                  <c:v>160.94920940940264</c:v>
                </c:pt>
                <c:pt idx="14">
                  <c:v>165.23979242275422</c:v>
                </c:pt>
                <c:pt idx="15">
                  <c:v>176.47394033537418</c:v>
                </c:pt>
                <c:pt idx="16">
                  <c:v>182.62497121933291</c:v>
                </c:pt>
                <c:pt idx="17">
                  <c:v>201.78033246024569</c:v>
                </c:pt>
                <c:pt idx="18">
                  <c:v>222.65734566369633</c:v>
                </c:pt>
                <c:pt idx="19">
                  <c:v>251.94187824225571</c:v>
                </c:pt>
                <c:pt idx="20">
                  <c:v>267.97595109620733</c:v>
                </c:pt>
                <c:pt idx="21">
                  <c:v>282.39188384640414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A4-4AC5-BF30-E52B79225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0423952"/>
        <c:axId val="2130434288"/>
      </c:lineChart>
      <c:catAx>
        <c:axId val="213042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34288"/>
        <c:crosses val="autoZero"/>
        <c:auto val="1"/>
        <c:lblAlgn val="ctr"/>
        <c:lblOffset val="100"/>
        <c:noMultiLvlLbl val="0"/>
      </c:catAx>
      <c:valAx>
        <c:axId val="213043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2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104563492063494E-2"/>
          <c:y val="6.6708687887383128E-2"/>
          <c:w val="0.9461005952380952"/>
          <c:h val="0.60943484848484852"/>
        </c:manualLayout>
      </c:layout>
      <c:lineChart>
        <c:grouping val="standard"/>
        <c:varyColors val="0"/>
        <c:ser>
          <c:idx val="0"/>
          <c:order val="0"/>
          <c:tx>
            <c:strRef>
              <c:f>Arkusz1!$A$27</c:f>
              <c:strCache>
                <c:ptCount val="1"/>
                <c:pt idx="0">
                  <c:v>Pył zawieszony PM10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Arkusz1!$B$26:$V$26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Arkusz1!$B$27:$V$27</c:f>
              <c:numCache>
                <c:formatCode>#\ ##0.0</c:formatCode>
                <c:ptCount val="21"/>
                <c:pt idx="0">
                  <c:v>10.906039479327985</c:v>
                </c:pt>
                <c:pt idx="1">
                  <c:v>11.11517186484253</c:v>
                </c:pt>
                <c:pt idx="2">
                  <c:v>11.205018062030847</c:v>
                </c:pt>
                <c:pt idx="3">
                  <c:v>11.073097856988595</c:v>
                </c:pt>
                <c:pt idx="4">
                  <c:v>11.130502925688097</c:v>
                </c:pt>
                <c:pt idx="5">
                  <c:v>11.453548703080525</c:v>
                </c:pt>
                <c:pt idx="6">
                  <c:v>12.179254307866273</c:v>
                </c:pt>
                <c:pt idx="7">
                  <c:v>11.570820970539723</c:v>
                </c:pt>
                <c:pt idx="8">
                  <c:v>11.632608599574525</c:v>
                </c:pt>
                <c:pt idx="9">
                  <c:v>11.454240514440277</c:v>
                </c:pt>
                <c:pt idx="10">
                  <c:v>12.273265445635786</c:v>
                </c:pt>
                <c:pt idx="11">
                  <c:v>11.604311045103175</c:v>
                </c:pt>
                <c:pt idx="12">
                  <c:v>11.607547864836235</c:v>
                </c:pt>
                <c:pt idx="13">
                  <c:v>11.247782526832877</c:v>
                </c:pt>
                <c:pt idx="14">
                  <c:v>10.437026809223386</c:v>
                </c:pt>
                <c:pt idx="15">
                  <c:v>10.374974316684705</c:v>
                </c:pt>
                <c:pt idx="16">
                  <c:v>10.701468741289448</c:v>
                </c:pt>
                <c:pt idx="17">
                  <c:v>10.539455693153146</c:v>
                </c:pt>
                <c:pt idx="18">
                  <c:v>10.045915293592643</c:v>
                </c:pt>
                <c:pt idx="19">
                  <c:v>8.9382455314991667</c:v>
                </c:pt>
                <c:pt idx="20">
                  <c:v>8.916877500843162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73-44CE-A615-09F92B2E13ED}"/>
            </c:ext>
          </c:extLst>
        </c:ser>
        <c:ser>
          <c:idx val="1"/>
          <c:order val="1"/>
          <c:tx>
            <c:strRef>
              <c:f>Arkusz1!$A$28</c:f>
              <c:strCache>
                <c:ptCount val="1"/>
                <c:pt idx="0">
                  <c:v>Pył zawieszony PM2,5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Arkusz1!$B$26:$V$26</c:f>
              <c:numCache>
                <c:formatCode>General</c:formatCode>
                <c:ptCount val="2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</c:numCache>
            </c:numRef>
          </c:cat>
          <c:val>
            <c:numRef>
              <c:f>Arkusz1!$B$28:$V$28</c:f>
              <c:numCache>
                <c:formatCode>#\ ##0.0</c:formatCode>
                <c:ptCount val="21"/>
                <c:pt idx="0">
                  <c:v>8.0355146934156245</c:v>
                </c:pt>
                <c:pt idx="1">
                  <c:v>8.290457719017045</c:v>
                </c:pt>
                <c:pt idx="2">
                  <c:v>8.4291204004174372</c:v>
                </c:pt>
                <c:pt idx="3">
                  <c:v>8.2874091115221162</c:v>
                </c:pt>
                <c:pt idx="4">
                  <c:v>8.4394384586648457</c:v>
                </c:pt>
                <c:pt idx="5">
                  <c:v>8.69838841291965</c:v>
                </c:pt>
                <c:pt idx="6">
                  <c:v>9.2787869708646031</c:v>
                </c:pt>
                <c:pt idx="7">
                  <c:v>8.7573993261931413</c:v>
                </c:pt>
                <c:pt idx="8">
                  <c:v>8.8739248967668587</c:v>
                </c:pt>
                <c:pt idx="9">
                  <c:v>8.775630818955559</c:v>
                </c:pt>
                <c:pt idx="10">
                  <c:v>9.557199518889071</c:v>
                </c:pt>
                <c:pt idx="11">
                  <c:v>8.9440559469050118</c:v>
                </c:pt>
                <c:pt idx="12">
                  <c:v>9.0063760895664835</c:v>
                </c:pt>
                <c:pt idx="13">
                  <c:v>8.7378560679963933</c:v>
                </c:pt>
                <c:pt idx="14">
                  <c:v>8.0360084002276579</c:v>
                </c:pt>
                <c:pt idx="15">
                  <c:v>7.9635285667432667</c:v>
                </c:pt>
                <c:pt idx="16">
                  <c:v>8.2629161564261029</c:v>
                </c:pt>
                <c:pt idx="17">
                  <c:v>8.0805769483987255</c:v>
                </c:pt>
                <c:pt idx="18">
                  <c:v>7.6203681451807412</c:v>
                </c:pt>
                <c:pt idx="19">
                  <c:v>6.6594071156727175</c:v>
                </c:pt>
                <c:pt idx="20">
                  <c:v>6.6670594135994063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73-44CE-A615-09F92B2E1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4818640"/>
        <c:axId val="284827888"/>
      </c:lineChart>
      <c:catAx>
        <c:axId val="28481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4827888"/>
        <c:crosses val="autoZero"/>
        <c:auto val="1"/>
        <c:lblAlgn val="ctr"/>
        <c:lblOffset val="100"/>
        <c:noMultiLvlLbl val="0"/>
      </c:catAx>
      <c:valAx>
        <c:axId val="2848278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481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880079365079365"/>
          <c:y val="0.88010707070707073"/>
          <c:w val="0.66239821428571422"/>
          <c:h val="0.107064646464646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61582E-39A6-4289-93AE-64FF8A6006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9070EBFB-EDD5-4A8B-ADA9-FC396769AC9B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6303</TotalTime>
  <Pages>5</Pages>
  <Words>1551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zielonej gospodarki w Polsce 2022</vt:lpstr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zielonej gospodarki w Polsce 2022</dc:title>
  <dc:subject/>
  <dc:creator>A.Kawalko@stat.gov.pl</dc:creator>
  <cp:keywords/>
  <dc:description/>
  <cp:lastModifiedBy>Żochowska Dorota</cp:lastModifiedBy>
  <cp:revision>181</cp:revision>
  <cp:lastPrinted>2022-11-24T09:05:00Z</cp:lastPrinted>
  <dcterms:created xsi:type="dcterms:W3CDTF">2022-06-03T11:57:00Z</dcterms:created>
  <dcterms:modified xsi:type="dcterms:W3CDTF">2022-11-24T09:18:00Z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